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670" w:rsidRDefault="00EF5986">
      <w:pPr>
        <w:spacing w:before="400" w:after="160"/>
        <w:jc w:val="center"/>
      </w:pPr>
      <w:r>
        <w:rPr>
          <w:noProof/>
          <w:lang w:val="tr-TR" w:eastAsia="tr-TR"/>
        </w:rPr>
        <w:drawing>
          <wp:inline distT="0" distB="0" distL="0" distR="0">
            <wp:extent cx="1260000" cy="1260000"/>
            <wp:effectExtent l="0" t="0" r="0" b="0"/>
            <wp:docPr id="1" name="Picture 1" descr="Gaziantep Üniversitesi Güzel Sanatlar Fakültesi logosu" title="GAÜN Güzel Sanatlar Fakül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un_gsf_logo.png"/>
                    <pic:cNvPicPr/>
                  </pic:nvPicPr>
                  <pic:blipFill>
                    <a:blip r:embed="rId9"/>
                    <a:stretch>
                      <a:fillRect/>
                    </a:stretch>
                  </pic:blipFill>
                  <pic:spPr>
                    <a:xfrm>
                      <a:off x="0" y="0"/>
                      <a:ext cx="1260000" cy="1260000"/>
                    </a:xfrm>
                    <a:prstGeom prst="rect">
                      <a:avLst/>
                    </a:prstGeom>
                  </pic:spPr>
                </pic:pic>
              </a:graphicData>
            </a:graphic>
          </wp:inline>
        </w:drawing>
      </w:r>
    </w:p>
    <w:p w:rsidR="001A4670" w:rsidRDefault="00EF5986">
      <w:pPr>
        <w:spacing w:after="20"/>
        <w:jc w:val="center"/>
      </w:pPr>
      <w:r>
        <w:rPr>
          <w:rFonts w:ascii="Cambria" w:eastAsia="Cambria" w:hAnsi="Cambria" w:cs="Cambria"/>
          <w:b/>
          <w:color w:val="173A63"/>
          <w:sz w:val="24"/>
        </w:rPr>
        <w:t>T.C.</w:t>
      </w:r>
    </w:p>
    <w:p w:rsidR="001A4670" w:rsidRDefault="00EF5986">
      <w:pPr>
        <w:spacing w:after="60"/>
        <w:jc w:val="center"/>
      </w:pPr>
      <w:r>
        <w:rPr>
          <w:rFonts w:ascii="Cambria" w:eastAsia="Cambria" w:hAnsi="Cambria" w:cs="Cambria"/>
          <w:b/>
          <w:color w:val="173A63"/>
          <w:sz w:val="30"/>
        </w:rPr>
        <w:t>GAZİANTEP ÜNİVERSİTESİ</w:t>
      </w:r>
    </w:p>
    <w:p w:rsidR="001A4670" w:rsidRDefault="00EF5986">
      <w:pPr>
        <w:spacing w:after="360"/>
        <w:jc w:val="center"/>
      </w:pPr>
      <w:r>
        <w:rPr>
          <w:rFonts w:ascii="Cambria" w:eastAsia="Cambria" w:hAnsi="Cambria" w:cs="Cambria"/>
          <w:b/>
          <w:color w:val="173A63"/>
          <w:sz w:val="32"/>
        </w:rPr>
        <w:t>GÜZEL SANATLAR FAKÜLTESİ</w:t>
      </w:r>
    </w:p>
    <w:p w:rsidR="001A4670" w:rsidRDefault="00EF5986">
      <w:pPr>
        <w:spacing w:after="20"/>
        <w:jc w:val="center"/>
      </w:pPr>
      <w:r>
        <w:rPr>
          <w:rFonts w:ascii="Cambria" w:eastAsia="Cambria" w:hAnsi="Cambria" w:cs="Cambria"/>
          <w:b/>
          <w:color w:val="173A63"/>
          <w:sz w:val="44"/>
        </w:rPr>
        <w:t>SANATSAL VE KÜLTÜREL</w:t>
      </w:r>
    </w:p>
    <w:p w:rsidR="001A4670" w:rsidRDefault="00EF5986">
      <w:pPr>
        <w:spacing w:after="20"/>
        <w:jc w:val="center"/>
      </w:pPr>
      <w:r>
        <w:rPr>
          <w:rFonts w:ascii="Cambria" w:eastAsia="Cambria" w:hAnsi="Cambria" w:cs="Cambria"/>
          <w:b/>
          <w:color w:val="173A63"/>
          <w:sz w:val="44"/>
        </w:rPr>
        <w:t>FAALİYETLER KOMİSYONU</w:t>
      </w:r>
    </w:p>
    <w:p w:rsidR="001A4670" w:rsidRDefault="00EF5986">
      <w:pPr>
        <w:spacing w:after="180"/>
        <w:jc w:val="center"/>
      </w:pPr>
      <w:r>
        <w:rPr>
          <w:rFonts w:ascii="Cambria" w:eastAsia="Cambria" w:hAnsi="Cambria" w:cs="Cambria"/>
          <w:b/>
          <w:color w:val="173A63"/>
          <w:sz w:val="44"/>
        </w:rPr>
        <w:t>YÖNERGESİ</w:t>
      </w:r>
    </w:p>
    <w:p w:rsidR="001A4670" w:rsidRDefault="00EF5986">
      <w:pPr>
        <w:spacing w:after="320"/>
        <w:jc w:val="center"/>
      </w:pPr>
      <w:r>
        <w:rPr>
          <w:rFonts w:ascii="Cambria" w:eastAsia="Cambria" w:hAnsi="Cambria" w:cs="Cambria"/>
          <w:b/>
          <w:color w:val="A67C36"/>
          <w:sz w:val="20"/>
        </w:rPr>
        <w:t>PLANLA • KOORDİNE ET • GÖRÜNÜR KIL</w:t>
      </w:r>
    </w:p>
    <w:tbl>
      <w:tblPr>
        <w:tblW w:w="9480" w:type="dxa"/>
        <w:tblInd w:w="120" w:type="dxa"/>
        <w:tblBorders>
          <w:top w:val="single" w:sz="10" w:space="0" w:color="FFFFFF"/>
          <w:left w:val="single" w:sz="10" w:space="0" w:color="FFFFFF"/>
          <w:bottom w:val="single" w:sz="10" w:space="0" w:color="FFFFFF"/>
          <w:right w:val="single" w:sz="10" w:space="0" w:color="FFFFFF"/>
          <w:insideH w:val="single" w:sz="10" w:space="0" w:color="FFFFFF"/>
          <w:insideV w:val="single" w:sz="10" w:space="0" w:color="FFFFFF"/>
        </w:tblBorders>
        <w:tblLayout w:type="fixed"/>
        <w:tblLook w:val="04A0" w:firstRow="1" w:lastRow="0" w:firstColumn="1" w:lastColumn="0" w:noHBand="0" w:noVBand="1"/>
      </w:tblPr>
      <w:tblGrid>
        <w:gridCol w:w="3160"/>
        <w:gridCol w:w="3160"/>
        <w:gridCol w:w="3160"/>
      </w:tblGrid>
      <w:tr w:rsidR="001A4670">
        <w:trPr>
          <w:tblHeader/>
        </w:trPr>
        <w:tc>
          <w:tcPr>
            <w:tcW w:w="316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D7E1EC"/>
                <w:sz w:val="17"/>
              </w:rPr>
              <w:t>01</w:t>
            </w:r>
            <w:r>
              <w:rPr>
                <w:rFonts w:eastAsia="Calibri" w:cs="Calibri"/>
                <w:b/>
                <w:color w:val="D7E1EC"/>
                <w:sz w:val="17"/>
              </w:rPr>
              <w:br/>
            </w:r>
            <w:r>
              <w:rPr>
                <w:rFonts w:eastAsia="Calibri" w:cs="Calibri"/>
                <w:b/>
                <w:color w:val="FFFFFF"/>
                <w:sz w:val="16"/>
              </w:rPr>
              <w:t>TAKVİM ve</w:t>
            </w:r>
            <w:r>
              <w:rPr>
                <w:rFonts w:eastAsia="Calibri" w:cs="Calibri"/>
                <w:b/>
                <w:color w:val="FFFFFF"/>
                <w:sz w:val="16"/>
              </w:rPr>
              <w:br/>
              <w:t>BİRİMLER ARASI EŞGÜDÜM</w:t>
            </w:r>
          </w:p>
        </w:tc>
        <w:tc>
          <w:tcPr>
            <w:tcW w:w="3160" w:type="dxa"/>
            <w:shd w:val="clear" w:color="auto" w:fill="2F5597"/>
            <w:tcMar>
              <w:top w:w="80" w:type="dxa"/>
              <w:left w:w="120" w:type="dxa"/>
              <w:bottom w:w="80" w:type="dxa"/>
              <w:right w:w="120" w:type="dxa"/>
            </w:tcMar>
            <w:vAlign w:val="center"/>
          </w:tcPr>
          <w:p w:rsidR="001A4670" w:rsidRDefault="00EF5986">
            <w:pPr>
              <w:spacing w:after="0"/>
              <w:jc w:val="center"/>
            </w:pPr>
            <w:r>
              <w:rPr>
                <w:rFonts w:eastAsia="Calibri" w:cs="Calibri"/>
                <w:b/>
                <w:color w:val="D7E1EC"/>
                <w:sz w:val="17"/>
              </w:rPr>
              <w:t>02</w:t>
            </w:r>
            <w:r>
              <w:rPr>
                <w:rFonts w:eastAsia="Calibri" w:cs="Calibri"/>
                <w:b/>
                <w:color w:val="D7E1EC"/>
                <w:sz w:val="17"/>
              </w:rPr>
              <w:br/>
            </w:r>
            <w:r>
              <w:rPr>
                <w:rFonts w:eastAsia="Calibri" w:cs="Calibri"/>
                <w:b/>
                <w:color w:val="FFFFFF"/>
                <w:sz w:val="16"/>
              </w:rPr>
              <w:t>SANATSAL NİTELİK ve</w:t>
            </w:r>
            <w:r>
              <w:rPr>
                <w:rFonts w:eastAsia="Calibri" w:cs="Calibri"/>
                <w:b/>
                <w:color w:val="FFFFFF"/>
                <w:sz w:val="16"/>
              </w:rPr>
              <w:br/>
              <w:t>SBK UYUMU</w:t>
            </w:r>
          </w:p>
        </w:tc>
        <w:tc>
          <w:tcPr>
            <w:tcW w:w="316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D7E1EC"/>
                <w:sz w:val="17"/>
              </w:rPr>
              <w:t>03</w:t>
            </w:r>
            <w:r>
              <w:rPr>
                <w:rFonts w:eastAsia="Calibri" w:cs="Calibri"/>
                <w:b/>
                <w:color w:val="D7E1EC"/>
                <w:sz w:val="17"/>
              </w:rPr>
              <w:br/>
            </w:r>
            <w:r>
              <w:rPr>
                <w:rFonts w:eastAsia="Calibri" w:cs="Calibri"/>
                <w:b/>
                <w:color w:val="FFFFFF"/>
                <w:sz w:val="16"/>
              </w:rPr>
              <w:t>ERİŞİLEBİLİRLİK, ETKİ ve</w:t>
            </w:r>
            <w:r>
              <w:rPr>
                <w:rFonts w:eastAsia="Calibri" w:cs="Calibri"/>
                <w:b/>
                <w:color w:val="FFFFFF"/>
                <w:sz w:val="16"/>
              </w:rPr>
              <w:br/>
              <w:t>KURUMSAL HAFIZA</w:t>
            </w:r>
          </w:p>
        </w:tc>
      </w:tr>
    </w:tbl>
    <w:p w:rsidR="001A4670" w:rsidRDefault="00EF5986">
      <w:pPr>
        <w:keepLines/>
        <w:shd w:val="clear" w:color="auto" w:fill="F7F1E6"/>
        <w:spacing w:before="120" w:after="160"/>
        <w:ind w:left="113" w:right="113"/>
        <w:jc w:val="left"/>
      </w:pPr>
      <w:r>
        <w:rPr>
          <w:rFonts w:eastAsia="Calibri" w:cs="Calibri"/>
          <w:b/>
          <w:color w:val="A67C36"/>
          <w:sz w:val="20"/>
        </w:rPr>
        <w:t>SINAV TAKVİMİ ÖNCELİĞİ</w:t>
      </w:r>
      <w:r>
        <w:rPr>
          <w:rFonts w:eastAsia="Calibri" w:cs="Calibri"/>
          <w:b/>
          <w:color w:val="A67C36"/>
          <w:sz w:val="20"/>
        </w:rPr>
        <w:br/>
      </w:r>
      <w:r>
        <w:rPr>
          <w:rFonts w:eastAsia="Calibri" w:cs="Calibri"/>
          <w:sz w:val="19"/>
        </w:rPr>
        <w:t>Sanatsal ve kültürel faaliyetler; ara sınav, mazeret, yarıyıl/dönem/yıl sonu, bütünleme, tek ders, ek sınav, muafiyet-yeterlik, özel yetenek ve uygulamalı jüri/değerlendirme süreçlerini aksatmayacak biçimde planlanır. Korunan dönemlerde ancak bu Yönergede belirtilen sınırlı ve gerekçeli istisnalar uygulanabilir.</w:t>
      </w:r>
    </w:p>
    <w:p w:rsidR="001A4670" w:rsidRDefault="00EF5986">
      <w:pPr>
        <w:spacing w:before="140" w:after="40"/>
        <w:jc w:val="center"/>
      </w:pPr>
      <w:r>
        <w:rPr>
          <w:rFonts w:eastAsia="Calibri" w:cs="Calibri"/>
          <w:i/>
          <w:color w:val="667085"/>
          <w:sz w:val="18"/>
        </w:rPr>
        <w:t>Fakülte Kurulu Karar Tarihi ve Sayısı: …… / ……</w:t>
      </w:r>
    </w:p>
    <w:p w:rsidR="001A4670" w:rsidRDefault="00A13C14">
      <w:pPr>
        <w:jc w:val="center"/>
      </w:pPr>
      <w:proofErr w:type="spellStart"/>
      <w:r>
        <w:rPr>
          <w:rFonts w:ascii="Cambria" w:eastAsia="Cambria" w:hAnsi="Cambria" w:cs="Cambria"/>
        </w:rPr>
        <w:t>Versiyon</w:t>
      </w:r>
      <w:proofErr w:type="spellEnd"/>
      <w:r>
        <w:rPr>
          <w:rFonts w:ascii="Cambria" w:eastAsia="Cambria" w:hAnsi="Cambria" w:cs="Cambria"/>
        </w:rPr>
        <w:t xml:space="preserve"> 1 - </w:t>
      </w:r>
      <w:bookmarkStart w:id="0" w:name="_GoBack"/>
      <w:bookmarkEnd w:id="0"/>
      <w:r w:rsidR="00EF5986">
        <w:rPr>
          <w:rFonts w:ascii="Cambria" w:eastAsia="Cambria" w:hAnsi="Cambria" w:cs="Cambria"/>
        </w:rPr>
        <w:t>2026</w:t>
      </w:r>
    </w:p>
    <w:p w:rsidR="001A4670" w:rsidRDefault="00EF5986">
      <w:r>
        <w:br w:type="page"/>
      </w:r>
    </w:p>
    <w:p w:rsidR="001A4670" w:rsidRDefault="00EF5986">
      <w:pPr>
        <w:pStyle w:val="Balk1"/>
        <w:pBdr>
          <w:bottom w:val="single" w:sz="7" w:space="2" w:color="A67C36"/>
        </w:pBdr>
      </w:pPr>
      <w:r>
        <w:lastRenderedPageBreak/>
        <w:t>BELGE KİMLİĞİ VE YÖNERGE HARİTASI</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1650"/>
        <w:gridCol w:w="3500"/>
        <w:gridCol w:w="1650"/>
        <w:gridCol w:w="2680"/>
      </w:tblGrid>
      <w:tr w:rsidR="001A4670">
        <w:trPr>
          <w:tblHeader/>
        </w:trPr>
        <w:tc>
          <w:tcPr>
            <w:tcW w:w="165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Alan</w:t>
            </w:r>
          </w:p>
        </w:tc>
        <w:tc>
          <w:tcPr>
            <w:tcW w:w="35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Bilgi</w:t>
            </w:r>
          </w:p>
        </w:tc>
        <w:tc>
          <w:tcPr>
            <w:tcW w:w="165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Alan</w:t>
            </w:r>
          </w:p>
        </w:tc>
        <w:tc>
          <w:tcPr>
            <w:tcW w:w="26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Bilgi</w:t>
            </w:r>
          </w:p>
        </w:tc>
      </w:tr>
      <w:tr w:rsidR="001A4670">
        <w:trPr>
          <w:cantSplit/>
        </w:trPr>
        <w:tc>
          <w:tcPr>
            <w:tcW w:w="16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Belge türü</w:t>
            </w:r>
          </w:p>
        </w:tc>
        <w:tc>
          <w:tcPr>
            <w:tcW w:w="3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Fakülte Yönergesi</w:t>
            </w:r>
          </w:p>
        </w:tc>
        <w:tc>
          <w:tcPr>
            <w:tcW w:w="16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Sürüm</w:t>
            </w:r>
          </w:p>
        </w:tc>
        <w:tc>
          <w:tcPr>
            <w:tcW w:w="26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1.0</w:t>
            </w:r>
          </w:p>
        </w:tc>
      </w:tr>
      <w:tr w:rsidR="001A4670">
        <w:trPr>
          <w:cantSplit/>
        </w:trPr>
        <w:tc>
          <w:tcPr>
            <w:tcW w:w="16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Kabul eden makam</w:t>
            </w:r>
          </w:p>
        </w:tc>
        <w:tc>
          <w:tcPr>
            <w:tcW w:w="35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GAÜN Güzel Sanatlar Fakültesi Fakülte Kurulu</w:t>
            </w:r>
          </w:p>
        </w:tc>
        <w:tc>
          <w:tcPr>
            <w:tcW w:w="16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Yürürlük</w:t>
            </w:r>
          </w:p>
        </w:tc>
        <w:tc>
          <w:tcPr>
            <w:tcW w:w="26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Kabul tarihi</w:t>
            </w:r>
          </w:p>
        </w:tc>
      </w:tr>
      <w:tr w:rsidR="001A4670">
        <w:trPr>
          <w:cantSplit/>
        </w:trPr>
        <w:tc>
          <w:tcPr>
            <w:tcW w:w="16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Sorumlu birim</w:t>
            </w:r>
          </w:p>
        </w:tc>
        <w:tc>
          <w:tcPr>
            <w:tcW w:w="3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Sanatsal ve Kültürel Faaliyetler Komisyonu</w:t>
            </w:r>
          </w:p>
        </w:tc>
        <w:tc>
          <w:tcPr>
            <w:tcW w:w="16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Gözden geçirme</w:t>
            </w:r>
          </w:p>
        </w:tc>
        <w:tc>
          <w:tcPr>
            <w:tcW w:w="26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En az iki yılda bir veya düzenleme değişikliğinde</w:t>
            </w:r>
          </w:p>
        </w:tc>
      </w:tr>
      <w:tr w:rsidR="001A4670">
        <w:trPr>
          <w:cantSplit/>
        </w:trPr>
        <w:tc>
          <w:tcPr>
            <w:tcW w:w="16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Karar tarihi / sayısı</w:t>
            </w:r>
          </w:p>
        </w:tc>
        <w:tc>
          <w:tcPr>
            <w:tcW w:w="35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 / ……</w:t>
            </w:r>
          </w:p>
        </w:tc>
        <w:tc>
          <w:tcPr>
            <w:tcW w:w="16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Belge sahibi</w:t>
            </w:r>
          </w:p>
        </w:tc>
        <w:tc>
          <w:tcPr>
            <w:tcW w:w="26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Dekanlık</w:t>
            </w:r>
          </w:p>
        </w:tc>
      </w:tr>
    </w:tbl>
    <w:p w:rsidR="001A4670" w:rsidRDefault="001A4670">
      <w:pPr>
        <w:spacing w:after="20"/>
      </w:pPr>
    </w:p>
    <w:p w:rsidR="001A4670" w:rsidRDefault="00EF5986">
      <w:pPr>
        <w:pStyle w:val="TableCaption"/>
      </w:pPr>
      <w:r>
        <w:t>Yönerge haritası</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900"/>
        <w:gridCol w:w="7000"/>
        <w:gridCol w:w="1580"/>
      </w:tblGrid>
      <w:tr w:rsidR="001A4670">
        <w:trPr>
          <w:tblHeader/>
        </w:trPr>
        <w:tc>
          <w:tcPr>
            <w:tcW w:w="9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Bölüm</w:t>
            </w:r>
          </w:p>
        </w:tc>
        <w:tc>
          <w:tcPr>
            <w:tcW w:w="70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İçerik</w:t>
            </w:r>
          </w:p>
        </w:tc>
        <w:tc>
          <w:tcPr>
            <w:tcW w:w="15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Maddeler</w:t>
            </w:r>
          </w:p>
        </w:tc>
      </w:tr>
      <w:tr w:rsidR="001A4670">
        <w:trPr>
          <w:cantSplit/>
        </w:trPr>
        <w:tc>
          <w:tcPr>
            <w:tcW w:w="9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I</w:t>
            </w:r>
          </w:p>
        </w:tc>
        <w:tc>
          <w:tcPr>
            <w:tcW w:w="7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Amaç, kapsam, dayanak, ilkeler ve tanımlar</w:t>
            </w:r>
          </w:p>
        </w:tc>
        <w:tc>
          <w:tcPr>
            <w:tcW w:w="15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1-5</w:t>
            </w:r>
          </w:p>
        </w:tc>
      </w:tr>
      <w:tr w:rsidR="001A4670">
        <w:trPr>
          <w:cantSplit/>
        </w:trPr>
        <w:tc>
          <w:tcPr>
            <w:tcW w:w="9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II</w:t>
            </w:r>
          </w:p>
        </w:tc>
        <w:tc>
          <w:tcPr>
            <w:tcW w:w="7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Komisyonun kuruluşu, yapısı ve sorumlulukları</w:t>
            </w:r>
          </w:p>
        </w:tc>
        <w:tc>
          <w:tcPr>
            <w:tcW w:w="15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6-11</w:t>
            </w:r>
          </w:p>
        </w:tc>
      </w:tr>
      <w:tr w:rsidR="001A4670">
        <w:trPr>
          <w:cantSplit/>
        </w:trPr>
        <w:tc>
          <w:tcPr>
            <w:tcW w:w="9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III</w:t>
            </w:r>
          </w:p>
        </w:tc>
        <w:tc>
          <w:tcPr>
            <w:tcW w:w="7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Görev alanı, koordinasyon ve yıllık planlama</w:t>
            </w:r>
          </w:p>
        </w:tc>
        <w:tc>
          <w:tcPr>
            <w:tcW w:w="15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12-17</w:t>
            </w:r>
          </w:p>
        </w:tc>
      </w:tr>
      <w:tr w:rsidR="001A4670">
        <w:trPr>
          <w:cantSplit/>
        </w:trPr>
        <w:tc>
          <w:tcPr>
            <w:tcW w:w="9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IV</w:t>
            </w:r>
          </w:p>
        </w:tc>
        <w:tc>
          <w:tcPr>
            <w:tcW w:w="7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Sınav dönemleri, başvuru, değerlendirme ve iç onay</w:t>
            </w:r>
          </w:p>
        </w:tc>
        <w:tc>
          <w:tcPr>
            <w:tcW w:w="15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18-24</w:t>
            </w:r>
          </w:p>
        </w:tc>
      </w:tr>
      <w:tr w:rsidR="001A4670">
        <w:trPr>
          <w:cantSplit/>
        </w:trPr>
        <w:tc>
          <w:tcPr>
            <w:tcW w:w="9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V</w:t>
            </w:r>
          </w:p>
        </w:tc>
        <w:tc>
          <w:tcPr>
            <w:tcW w:w="7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Uygulama, iletişim, güvenlik, etik ve haklar</w:t>
            </w:r>
          </w:p>
        </w:tc>
        <w:tc>
          <w:tcPr>
            <w:tcW w:w="15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25-32</w:t>
            </w:r>
          </w:p>
        </w:tc>
      </w:tr>
      <w:tr w:rsidR="001A4670">
        <w:trPr>
          <w:cantSplit/>
        </w:trPr>
        <w:tc>
          <w:tcPr>
            <w:tcW w:w="9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VI</w:t>
            </w:r>
          </w:p>
        </w:tc>
        <w:tc>
          <w:tcPr>
            <w:tcW w:w="7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SBK Çevrim İçi Sergi Platformu ile uyum</w:t>
            </w:r>
          </w:p>
        </w:tc>
        <w:tc>
          <w:tcPr>
            <w:tcW w:w="15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33-38</w:t>
            </w:r>
          </w:p>
        </w:tc>
      </w:tr>
      <w:tr w:rsidR="001A4670">
        <w:trPr>
          <w:cantSplit/>
        </w:trPr>
        <w:tc>
          <w:tcPr>
            <w:tcW w:w="9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VII</w:t>
            </w:r>
          </w:p>
        </w:tc>
        <w:tc>
          <w:tcPr>
            <w:tcW w:w="7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Çalışma usulleri, kayıt, raporlama ve PUKÖ</w:t>
            </w:r>
          </w:p>
        </w:tc>
        <w:tc>
          <w:tcPr>
            <w:tcW w:w="15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39-43</w:t>
            </w:r>
          </w:p>
        </w:tc>
      </w:tr>
      <w:tr w:rsidR="001A4670">
        <w:trPr>
          <w:cantSplit/>
        </w:trPr>
        <w:tc>
          <w:tcPr>
            <w:tcW w:w="9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VIII</w:t>
            </w:r>
          </w:p>
        </w:tc>
        <w:tc>
          <w:tcPr>
            <w:tcW w:w="7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Çeşitli ve son hükümler</w:t>
            </w:r>
          </w:p>
        </w:tc>
        <w:tc>
          <w:tcPr>
            <w:tcW w:w="15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44-48</w:t>
            </w:r>
          </w:p>
        </w:tc>
      </w:tr>
      <w:tr w:rsidR="001A4670">
        <w:trPr>
          <w:cantSplit/>
        </w:trPr>
        <w:tc>
          <w:tcPr>
            <w:tcW w:w="9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Ekler</w:t>
            </w:r>
          </w:p>
        </w:tc>
        <w:tc>
          <w:tcPr>
            <w:tcW w:w="7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Başvuru, değerlendirme, sınav çakışması, SBK ve raporlama araçları</w:t>
            </w:r>
          </w:p>
        </w:tc>
        <w:tc>
          <w:tcPr>
            <w:tcW w:w="15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EK-1-EK-6</w:t>
            </w:r>
          </w:p>
        </w:tc>
      </w:tr>
    </w:tbl>
    <w:p w:rsidR="001A4670" w:rsidRDefault="001A4670">
      <w:pPr>
        <w:spacing w:after="20"/>
      </w:pPr>
    </w:p>
    <w:p w:rsidR="001A4670" w:rsidRDefault="00EF5986">
      <w:pPr>
        <w:keepLines/>
        <w:shd w:val="clear" w:color="auto" w:fill="E8EEF5"/>
        <w:spacing w:before="120" w:after="160"/>
        <w:ind w:left="113" w:right="113"/>
        <w:jc w:val="left"/>
      </w:pPr>
      <w:r>
        <w:rPr>
          <w:rFonts w:eastAsia="Calibri" w:cs="Calibri"/>
          <w:b/>
          <w:color w:val="173A63"/>
          <w:sz w:val="20"/>
        </w:rPr>
        <w:t>YÖNETİŞİM MODELİ</w:t>
      </w:r>
      <w:r>
        <w:rPr>
          <w:rFonts w:eastAsia="Calibri" w:cs="Calibri"/>
          <w:b/>
          <w:color w:val="173A63"/>
          <w:sz w:val="20"/>
        </w:rPr>
        <w:br/>
      </w:r>
      <w:r>
        <w:rPr>
          <w:rFonts w:eastAsia="Calibri" w:cs="Calibri"/>
          <w:sz w:val="19"/>
        </w:rPr>
        <w:t>Komisyon Başkanı çalışmaların asıl ve doğrudan sorumlusudur. Her aktif bölüm bir üye ile temsil edilir; sekretarya oy hakkı olmaksızın kayıt ve arşivi yürütür. Uygulama gerektiren kararlar Dekanlık veya yetkili kurul onayıyla yürürlüğe girer.</w:t>
      </w:r>
    </w:p>
    <w:p w:rsidR="001A4670" w:rsidRDefault="00EF5986">
      <w:r>
        <w:br w:type="page"/>
      </w:r>
    </w:p>
    <w:p w:rsidR="001A4670" w:rsidRDefault="00EF5986">
      <w:pPr>
        <w:pStyle w:val="Balk1"/>
        <w:pBdr>
          <w:bottom w:val="single" w:sz="7" w:space="2" w:color="A67C36"/>
        </w:pBdr>
      </w:pPr>
      <w:r>
        <w:lastRenderedPageBreak/>
        <w:t>BİRİNCİ BÖLÜM - Amaç, Kapsam, Dayanak, İlkeler ve Tanımlar</w:t>
      </w:r>
    </w:p>
    <w:p w:rsidR="001A4670" w:rsidRDefault="00EF5986">
      <w:pPr>
        <w:pStyle w:val="Balk2"/>
      </w:pPr>
      <w:r>
        <w:t>MADDE 1 – Amaç</w:t>
      </w:r>
    </w:p>
    <w:p w:rsidR="001A4670" w:rsidRDefault="00EF5986">
      <w:pPr>
        <w:pStyle w:val="LegalClause"/>
        <w:numPr>
          <w:ilvl w:val="0"/>
          <w:numId w:val="2"/>
        </w:numPr>
      </w:pPr>
      <w:r>
        <w:t>Bu Yönergenin amacı; Gaziantep Üniversitesi Güzel Sanatlar Fakültesi Sanatsal ve Kültürel Faaliyetler Komisyonunun kuruluşunu, oluşumunu, görev, yetki ve sorumluluklarını, çalışma usul ve esaslarını düzenlemektir.</w:t>
      </w:r>
    </w:p>
    <w:p w:rsidR="001A4670" w:rsidRDefault="00EF5986">
      <w:pPr>
        <w:pStyle w:val="LegalClause"/>
        <w:numPr>
          <w:ilvl w:val="0"/>
          <w:numId w:val="2"/>
        </w:numPr>
      </w:pPr>
      <w:r>
        <w:t>Yönerge; Fakültenin sanatsal ve kültürel faaliyetlerini ortak bir yıllık takvim, kurumsal öncelikler, birimler arası koordinasyon, sınav dönemlerinin korunması, Sanat Bilim Kültür (SBK) Çevrim İçi Sergi Platformu uyumu, erişilebilirlik, etik, güvenlik, kurumsal iletişim, kanıt ve etki değerlendirmesi temelinde sürdürülebilir hâle getirmeyi amaçlar.</w:t>
      </w:r>
    </w:p>
    <w:p w:rsidR="001A4670" w:rsidRDefault="00EF5986">
      <w:pPr>
        <w:pStyle w:val="Balk2"/>
      </w:pPr>
      <w:r>
        <w:t>MADDE 2 – Kapsam</w:t>
      </w:r>
    </w:p>
    <w:p w:rsidR="001A4670" w:rsidRDefault="00EF5986">
      <w:pPr>
        <w:pStyle w:val="LegalClause"/>
        <w:numPr>
          <w:ilvl w:val="0"/>
          <w:numId w:val="3"/>
        </w:numPr>
      </w:pPr>
      <w:r>
        <w:t>Bu Yönerge; Fakülte, bölüm, anasanat/anasanat dalı, program, akademik veya idari birimlerce Fakülte adı, logosu, resmî temsil gücü, bütçesi, personeli, öğrencileri, mekânı, teknik altyapısı, dijital kanalları ya da kurumsal ortaklıkları kullanılarak planlanan veya yürütülen sanatsal ve kültürel faaliyetleri kapsar.</w:t>
      </w:r>
    </w:p>
    <w:p w:rsidR="001A4670" w:rsidRDefault="00EF5986">
      <w:pPr>
        <w:pStyle w:val="LegalClause"/>
        <w:numPr>
          <w:ilvl w:val="0"/>
          <w:numId w:val="3"/>
        </w:numPr>
      </w:pPr>
      <w:r>
        <w:t>Sergi, gösterim, konser, dinleti, performans, temsil, festival, şenlik, söyleşi, panel, konferans, seminer, atölye, çalıştay, yarışma, bienal/trienal katılımı, kültür gezisi, anma, tören, ödül, yayın/lansman, çevrim içi veya hibrit etkinlik, öğrenci faaliyeti, mezun buluşması ve benzeri faaliyetler bu kapsamda değerlendirilir.</w:t>
      </w:r>
    </w:p>
    <w:p w:rsidR="001A4670" w:rsidRDefault="00EF5986">
      <w:pPr>
        <w:pStyle w:val="LegalClause"/>
        <w:numPr>
          <w:ilvl w:val="0"/>
          <w:numId w:val="3"/>
        </w:numPr>
      </w:pPr>
      <w:r>
        <w:t>Ders içi olağan öğretim uygulamaları, kamuya açık olmayan rutin sınıf/atölye çalışmaları ve Fakültenin adı, kaynağı veya resmî temsili kullanılmadan kişisel sıfatla yürütülen bağımsız sanatsal faaliyetler kapsam dışıdır. Bu istisna, faaliyet resmî duyuruya, dış paydaş taahhüdüne, kamusal etkinliğe veya Fakülte kaynağı kullanımına dönüştüğünde uygulanmaz.</w:t>
      </w:r>
    </w:p>
    <w:p w:rsidR="001A4670" w:rsidRDefault="00EF5986">
      <w:pPr>
        <w:pStyle w:val="Balk2"/>
      </w:pPr>
      <w:r>
        <w:t>MADDE 3 – Dayanak ve Uyulacak Düzenlemeler</w:t>
      </w:r>
    </w:p>
    <w:p w:rsidR="001A4670" w:rsidRDefault="00EF5986">
      <w:pPr>
        <w:pStyle w:val="LegalClause"/>
        <w:numPr>
          <w:ilvl w:val="0"/>
          <w:numId w:val="4"/>
        </w:numPr>
      </w:pPr>
      <w:r>
        <w:t>Bu Yönerge; 2547 sayılı Yükseköğretim Kanunu, Gaziantep Üniversitesi ilgili yönetmelik ve yönergeleri, Üniversite ve Fakülte kurullarının kararları ile Gaziantep Üniversitesi Güzel Sanatlar Fakültesi Sanat Bilim Kültür (SBK) Çevrim İçi Sergi Platformu Sergi Yönergesi esas alınarak hazırlanmıştır.</w:t>
      </w:r>
    </w:p>
    <w:p w:rsidR="001A4670" w:rsidRDefault="00EF5986">
      <w:pPr>
        <w:pStyle w:val="LegalClause"/>
        <w:numPr>
          <w:ilvl w:val="0"/>
          <w:numId w:val="4"/>
        </w:numPr>
      </w:pPr>
      <w:r>
        <w:t>Faaliyetler; yürürlükteki akademik takvim, eğitim-öğretim ve sınav düzenlemeleri, özel yetenek sınavı düzenlemeleri, iş sağlığı ve güvenliği, kişisel verilerin korunması, fikrî ve sınai haklar, telif, çocukların ve kırılgan grupların korunması, kamu mali yönetimi, sponsorluk/protokol, kurumsal kimlik ve bilgi güvenliği hükümlerine uygun yürütülür.</w:t>
      </w:r>
    </w:p>
    <w:p w:rsidR="001A4670" w:rsidRDefault="00EF5986">
      <w:pPr>
        <w:pStyle w:val="LegalClause"/>
        <w:numPr>
          <w:ilvl w:val="0"/>
          <w:numId w:val="4"/>
        </w:numPr>
      </w:pPr>
      <w:r>
        <w:t>Bu Yönerge ile diğer düzenlemeler arasında farklılık bulunması hâlinde üst norm ile Üniversitenin yetkili organlarınca kabul edilen özel düzenleme uygulanır.</w:t>
      </w:r>
    </w:p>
    <w:p w:rsidR="001A4670" w:rsidRDefault="00EF5986">
      <w:pPr>
        <w:pStyle w:val="Balk2"/>
      </w:pPr>
      <w:r>
        <w:t>MADDE 4 – Temel İlkeler</w:t>
      </w:r>
    </w:p>
    <w:p w:rsidR="001A4670" w:rsidRDefault="00EF5986">
      <w:pPr>
        <w:pStyle w:val="LegalClause"/>
        <w:numPr>
          <w:ilvl w:val="0"/>
          <w:numId w:val="5"/>
        </w:numPr>
      </w:pPr>
      <w:r>
        <w:t>Komisyon çalışmalarında sanatsal özgürlük, akademik özerklik, çoğulculuk, ifade özgürlüğü, nitelik, kamu yararı, şeffaflık, hesap verebilirlik, katılımcılık, erişilebilirlik, eşitlik, kültürel çeşitlilik, sürdürülebilirlik, güvenlik, etik, hukuka uygunluk ve kurumsal itibar ilkeleri birlikte gözetilir.</w:t>
      </w:r>
    </w:p>
    <w:p w:rsidR="001A4670" w:rsidRDefault="00EF5986">
      <w:pPr>
        <w:pStyle w:val="LegalClause"/>
        <w:numPr>
          <w:ilvl w:val="0"/>
          <w:numId w:val="5"/>
        </w:numPr>
      </w:pPr>
      <w:r>
        <w:t>Faaliyet sayısı tek başına başarı ölçütü değildir. İçerik niteliği, öğrenci öğrenmesine katkı, erişilen kitle, paydaş katılımı, sürdürülebilir ortaklık, toplumsal/kültürel etki, görünürlük, erişilebilirlik ve kanıtlanabilir iyileştirme esas alınır.</w:t>
      </w:r>
    </w:p>
    <w:p w:rsidR="001A4670" w:rsidRDefault="00EF5986">
      <w:pPr>
        <w:pStyle w:val="LegalClause"/>
        <w:numPr>
          <w:ilvl w:val="0"/>
          <w:numId w:val="5"/>
        </w:numPr>
      </w:pPr>
      <w:r>
        <w:t>Komisyon, içerik üzerinde tek tipleştirici veya sansürleyici bir işlev üstlenmez; hukuki, etik, kurumsal, teknik ve takvimsel uygunluğu değerlendirirken sanatsal ve bilimsel çoğulculuğu korur.</w:t>
      </w:r>
    </w:p>
    <w:p w:rsidR="001A4670" w:rsidRDefault="00EF5986">
      <w:pPr>
        <w:pStyle w:val="Balk2"/>
      </w:pPr>
      <w:r>
        <w:lastRenderedPageBreak/>
        <w:t>MADDE 5 – Tanımlar</w:t>
      </w:r>
    </w:p>
    <w:p w:rsidR="001A4670" w:rsidRDefault="00EF5986">
      <w:pPr>
        <w:pStyle w:val="LegalClause"/>
        <w:numPr>
          <w:ilvl w:val="0"/>
          <w:numId w:val="6"/>
        </w:numPr>
      </w:pPr>
      <w:r>
        <w:t>Bu Yönergede geçen;</w:t>
      </w:r>
    </w:p>
    <w:p w:rsidR="001A4670" w:rsidRDefault="00EF5986">
      <w:pPr>
        <w:pStyle w:val="LegalBullet"/>
        <w:numPr>
          <w:ilvl w:val="0"/>
          <w:numId w:val="1"/>
        </w:numPr>
      </w:pPr>
      <w:r>
        <w:t>Üniversite: Gaziantep Üniversitesini,</w:t>
      </w:r>
    </w:p>
    <w:p w:rsidR="001A4670" w:rsidRDefault="00EF5986">
      <w:pPr>
        <w:pStyle w:val="LegalBullet"/>
        <w:numPr>
          <w:ilvl w:val="0"/>
          <w:numId w:val="1"/>
        </w:numPr>
      </w:pPr>
      <w:r>
        <w:t>Fakülte: Gaziantep Üniversitesi Güzel Sanatlar Fakültesini,</w:t>
      </w:r>
    </w:p>
    <w:p w:rsidR="001A4670" w:rsidRDefault="00EF5986">
      <w:pPr>
        <w:pStyle w:val="LegalBullet"/>
        <w:numPr>
          <w:ilvl w:val="0"/>
          <w:numId w:val="1"/>
        </w:numPr>
      </w:pPr>
      <w:r>
        <w:t>Dekanlık: Güzel Sanatlar Fakültesi Dekanlığını,</w:t>
      </w:r>
    </w:p>
    <w:p w:rsidR="001A4670" w:rsidRDefault="00EF5986">
      <w:pPr>
        <w:pStyle w:val="LegalBullet"/>
        <w:numPr>
          <w:ilvl w:val="0"/>
          <w:numId w:val="1"/>
        </w:numPr>
      </w:pPr>
      <w:r>
        <w:t>Komisyon: Sanatsal ve Kültürel Faaliyetler Komisyonunu,</w:t>
      </w:r>
    </w:p>
    <w:p w:rsidR="001A4670" w:rsidRDefault="00EF5986">
      <w:pPr>
        <w:pStyle w:val="LegalBullet"/>
        <w:numPr>
          <w:ilvl w:val="0"/>
          <w:numId w:val="1"/>
        </w:numPr>
      </w:pPr>
      <w:r>
        <w:t>Başkan: Komisyon Başkanını,</w:t>
      </w:r>
    </w:p>
    <w:p w:rsidR="001A4670" w:rsidRDefault="00EF5986">
      <w:pPr>
        <w:pStyle w:val="LegalBullet"/>
        <w:numPr>
          <w:ilvl w:val="0"/>
          <w:numId w:val="1"/>
        </w:numPr>
      </w:pPr>
      <w:r>
        <w:t>Birim: Fakülte bünyesindeki bölüm, anasanat/anasanat dalı, program ile akademik veya idari birimi,</w:t>
      </w:r>
    </w:p>
    <w:p w:rsidR="001A4670" w:rsidRDefault="00EF5986">
      <w:pPr>
        <w:pStyle w:val="LegalBullet"/>
        <w:numPr>
          <w:ilvl w:val="0"/>
          <w:numId w:val="1"/>
        </w:numPr>
      </w:pPr>
      <w:r>
        <w:t>Birim temsilcisi: Aktif birimi Komisyon çalışmalarında temsil eden öğretim elemanını,</w:t>
      </w:r>
    </w:p>
    <w:p w:rsidR="001A4670" w:rsidRDefault="00EF5986">
      <w:pPr>
        <w:pStyle w:val="LegalBullet"/>
        <w:numPr>
          <w:ilvl w:val="0"/>
          <w:numId w:val="1"/>
        </w:numPr>
      </w:pPr>
      <w:r>
        <w:t>Faaliyet sorumlusu: Onaylanan faaliyetin hazırlık, uygulama, kapanış ve raporlamasından sorumlu kişiyi,</w:t>
      </w:r>
    </w:p>
    <w:p w:rsidR="001A4670" w:rsidRDefault="00EF5986">
      <w:pPr>
        <w:pStyle w:val="LegalBullet"/>
        <w:numPr>
          <w:ilvl w:val="0"/>
          <w:numId w:val="1"/>
        </w:numPr>
      </w:pPr>
      <w:r>
        <w:t>SBK Platformu: https://sbk.gaziantep.edu.tr/ adresinde hizmet veren Sanat Bilim Kültür çevrim içi sanat/sergi platformunu,</w:t>
      </w:r>
    </w:p>
    <w:p w:rsidR="001A4670" w:rsidRDefault="00EF5986">
      <w:pPr>
        <w:pStyle w:val="LegalBullet"/>
        <w:numPr>
          <w:ilvl w:val="0"/>
          <w:numId w:val="1"/>
        </w:numPr>
      </w:pPr>
      <w:r>
        <w:t>SBK Sergi Değerlendirme Komisyonu: SBK Sergi Yönergesine göre sergi başvurularını sanatsal ve akademik ölçütlerle değerlendiren beş kişilik kurulu,</w:t>
      </w:r>
    </w:p>
    <w:p w:rsidR="001A4670" w:rsidRDefault="00EF5986">
      <w:pPr>
        <w:pStyle w:val="LegalBullet"/>
        <w:numPr>
          <w:ilvl w:val="0"/>
          <w:numId w:val="1"/>
        </w:numPr>
      </w:pPr>
      <w:r>
        <w:t>Korunan dönem: Sınav, jüri, değerlendirme, yerleştirme veya resmî eğitim-öğretim işlemlerinin öncelikli olduğu ve faaliyetlerin sınırlandırıldığı tarih/saat aralığını,</w:t>
      </w:r>
    </w:p>
    <w:p w:rsidR="001A4670" w:rsidRDefault="00EF5986">
      <w:pPr>
        <w:pStyle w:val="LegalBullet"/>
        <w:numPr>
          <w:ilvl w:val="0"/>
          <w:numId w:val="1"/>
        </w:numPr>
      </w:pPr>
      <w:r>
        <w:t>Kurumsal faaliyet takvimi: Tüm birimlerin tekliflerinin sınav takvimi, mekân, kaynak ve iletişim kapasitesiyle eşleştirildiği yıllık takvimi,</w:t>
      </w:r>
    </w:p>
    <w:p w:rsidR="001A4670" w:rsidRDefault="00EF5986">
      <w:pPr>
        <w:pStyle w:val="LegalBullet"/>
        <w:numPr>
          <w:ilvl w:val="0"/>
          <w:numId w:val="1"/>
        </w:numPr>
      </w:pPr>
      <w:r>
        <w:t>İç onay: Faaliyetin Fakülte adına planlama ve hazırlık bakımından uygun bulunduğunu gösteren, yetkili makamların ayrıca vermesi gereken onayların yerine geçmeyen Komisyon kararını,</w:t>
      </w:r>
    </w:p>
    <w:p w:rsidR="001A4670" w:rsidRDefault="00EF5986">
      <w:pPr>
        <w:pStyle w:val="LegalBullet"/>
        <w:numPr>
          <w:ilvl w:val="0"/>
          <w:numId w:val="1"/>
        </w:numPr>
      </w:pPr>
      <w:r>
        <w:t>Kanıt: Başvuru, karar, afiş, program, katılımcı listesi, görsel-işitsel kayıt, izin, sözleşme, geri bildirim, rapor ve benzeri doğrulanabilir kaydı</w:t>
      </w:r>
    </w:p>
    <w:p w:rsidR="001A4670" w:rsidRDefault="00EF5986">
      <w:pPr>
        <w:pStyle w:val="LegalBullet"/>
        <w:numPr>
          <w:ilvl w:val="0"/>
          <w:numId w:val="1"/>
        </w:numPr>
      </w:pPr>
      <w:r>
        <w:t>ifade eder.</w:t>
      </w:r>
    </w:p>
    <w:p w:rsidR="001A4670" w:rsidRDefault="00EF5986">
      <w:pPr>
        <w:pStyle w:val="Balk1"/>
        <w:pBdr>
          <w:bottom w:val="single" w:sz="7" w:space="2" w:color="A67C36"/>
        </w:pBdr>
      </w:pPr>
      <w:r>
        <w:t>İKİNCİ BÖLÜM - Komisyonun Kuruluşu, Yapısı ve Sorumlulukları</w:t>
      </w:r>
    </w:p>
    <w:p w:rsidR="001A4670" w:rsidRDefault="00EF5986">
      <w:pPr>
        <w:pStyle w:val="Balk2"/>
      </w:pPr>
      <w:r>
        <w:t>MADDE 6 – Komisyonun Kuruluşu ve Oluşumu</w:t>
      </w:r>
    </w:p>
    <w:p w:rsidR="001A4670" w:rsidRDefault="00EF5986">
      <w:pPr>
        <w:pStyle w:val="LegalClause"/>
        <w:numPr>
          <w:ilvl w:val="0"/>
          <w:numId w:val="7"/>
        </w:numPr>
      </w:pPr>
      <w:r>
        <w:t>Fakültede sanatsal ve kültürel faaliyetlerin ortak bir sistem içinde yürütülmesi amacıyla Sanatsal ve Kültürel Faaliyetler Komisyonu kurulur.</w:t>
      </w:r>
    </w:p>
    <w:p w:rsidR="001A4670" w:rsidRDefault="00EF5986">
      <w:pPr>
        <w:pStyle w:val="LegalClause"/>
        <w:numPr>
          <w:ilvl w:val="0"/>
          <w:numId w:val="7"/>
        </w:numPr>
      </w:pPr>
      <w:r>
        <w:t>Komisyon; bir Komisyon Başkanı ile Fakültedeki her aktif bölümden bir bölüm temsilcisinden oluşur. Fakültede aktif program veya anasanat/anasanat dalı bulunup bölüm düzeyinde temsili bulunmayan alanlar için Dekanlık ilave temsilci görevlendirebilir.</w:t>
      </w:r>
    </w:p>
    <w:p w:rsidR="001A4670" w:rsidRDefault="00EF5986">
      <w:pPr>
        <w:pStyle w:val="LegalClause"/>
        <w:numPr>
          <w:ilvl w:val="0"/>
          <w:numId w:val="7"/>
        </w:numPr>
      </w:pPr>
      <w:r>
        <w:t>Komisyon Başkanlığı görevi Dekan veya görevlendireceği Dekan Yardımcısı ya da alanında deneyimli bir öğretim elemanı tarafından yürütülür. Komisyonun asıl ve doğrudan sorumlusu Başkandır.</w:t>
      </w:r>
    </w:p>
    <w:p w:rsidR="001A4670" w:rsidRDefault="00EF5986">
      <w:pPr>
        <w:pStyle w:val="LegalClause"/>
        <w:numPr>
          <w:ilvl w:val="0"/>
          <w:numId w:val="7"/>
        </w:numPr>
      </w:pPr>
      <w:r>
        <w:t>Fakülte Sekreteri veya görevlendireceği idari personel sekretarya hizmetlerini yürütür; sekretaryanın oy hakkı yoktur.</w:t>
      </w:r>
    </w:p>
    <w:p w:rsidR="001A4670" w:rsidRDefault="00EF5986">
      <w:pPr>
        <w:pStyle w:val="LegalClause"/>
        <w:numPr>
          <w:ilvl w:val="0"/>
          <w:numId w:val="7"/>
        </w:numPr>
      </w:pPr>
      <w:r>
        <w:t>Komisyonun kuruluşu, Başkan ve üye görevlendirmeleri ile üyelik değişiklikleri Fakülte Yönetim Kurulu kararıyla kesinleşir.</w:t>
      </w:r>
    </w:p>
    <w:p w:rsidR="001A4670" w:rsidRDefault="00EF5986">
      <w:pPr>
        <w:pStyle w:val="Balk2"/>
      </w:pPr>
      <w:r>
        <w:lastRenderedPageBreak/>
        <w:t>MADDE 7 – Görevlendirme, Görev Süresi ve Üyeliğin Sona Ermesi</w:t>
      </w:r>
    </w:p>
    <w:p w:rsidR="001A4670" w:rsidRDefault="00EF5986">
      <w:pPr>
        <w:pStyle w:val="LegalClause"/>
        <w:numPr>
          <w:ilvl w:val="0"/>
          <w:numId w:val="8"/>
        </w:numPr>
      </w:pPr>
      <w:r>
        <w:t>Birim temsilcisi, ilgili bölüm kurulunun önerisi ve Bölüm Başkanlığının yazılı bildirimi üzerine Fakülte Yönetim Kurulunca görevlendirilir. Temsilcinin sanatsal/kültürel faaliyet deneyimi, iletişim ve organizasyon yeterliği ile kurumsal sorumluluk bilinci gözetilir.</w:t>
      </w:r>
    </w:p>
    <w:p w:rsidR="001A4670" w:rsidRDefault="00EF5986">
      <w:pPr>
        <w:pStyle w:val="LegalClause"/>
        <w:numPr>
          <w:ilvl w:val="0"/>
          <w:numId w:val="8"/>
        </w:numPr>
      </w:pPr>
      <w:r>
        <w:t>Başkan ve üyelerin görev süresi iki yıldır. Görev süresi dolanlar aynı usulle yeniden görevlendirilebilir. Yeni üye görevlendirilinceye kadar mevcut üye göreve devam eder.</w:t>
      </w:r>
    </w:p>
    <w:p w:rsidR="001A4670" w:rsidRDefault="00EF5986">
      <w:pPr>
        <w:pStyle w:val="LegalClause"/>
        <w:numPr>
          <w:ilvl w:val="0"/>
          <w:numId w:val="8"/>
        </w:numPr>
      </w:pPr>
      <w:r>
        <w:t>Üyelik; görevin sona ermesi, birimden ayrılma, istifa, görevlendirmenin kaldırılması veya kabul edilebilir mazeret olmaksızın bir akademik yılda üç toplantıya katılmama hâllerinde sona erer. Boşalan üyelik en geç otuz gün içinde tamamlanır.</w:t>
      </w:r>
    </w:p>
    <w:p w:rsidR="001A4670" w:rsidRDefault="00EF5986">
      <w:pPr>
        <w:pStyle w:val="LegalClause"/>
        <w:numPr>
          <w:ilvl w:val="0"/>
          <w:numId w:val="8"/>
        </w:numPr>
      </w:pPr>
      <w:r>
        <w:t>Üye değişikliklerinde devam eden dosyalar, kararlar, takvim kayıtları ve erişim yetkileri devir tutanağıyla teslim edilir.</w:t>
      </w:r>
    </w:p>
    <w:p w:rsidR="001A4670" w:rsidRDefault="00EF5986">
      <w:pPr>
        <w:pStyle w:val="Balk2"/>
      </w:pPr>
      <w:r>
        <w:t>MADDE 8 – Komisyon Başkanının Görev ve Sorumlulukları</w:t>
      </w:r>
    </w:p>
    <w:p w:rsidR="001A4670" w:rsidRDefault="00EF5986">
      <w:pPr>
        <w:pStyle w:val="LegalClause"/>
        <w:numPr>
          <w:ilvl w:val="0"/>
          <w:numId w:val="9"/>
        </w:numPr>
      </w:pPr>
      <w:r>
        <w:t>Başkan; Komisyonun yıllık hedeflerini, çalışma takvimini, gündemini, görev dağılımını ve birimler arası koordinasyonunu yönetir; kararların zamanında, tarafsız ve kanıta dayalı alınmasından asıl ve doğrudan sorumludur.</w:t>
      </w:r>
    </w:p>
    <w:p w:rsidR="001A4670" w:rsidRDefault="00EF5986">
      <w:pPr>
        <w:pStyle w:val="LegalClause"/>
        <w:numPr>
          <w:ilvl w:val="0"/>
          <w:numId w:val="9"/>
        </w:numPr>
      </w:pPr>
      <w:r>
        <w:t>Başkan; başvuruların ön inceleme ve raportörlük sürecini başlatır, toplantıya çağrı yapar, görüşmeleri yönetir, oyları tespit eder, gerekçeli kararları ve raporları imzalar, Dekanlığa sunar ve uygulanmasını izler.</w:t>
      </w:r>
    </w:p>
    <w:p w:rsidR="001A4670" w:rsidRDefault="00EF5986">
      <w:pPr>
        <w:pStyle w:val="LegalClause"/>
        <w:numPr>
          <w:ilvl w:val="0"/>
          <w:numId w:val="9"/>
        </w:numPr>
      </w:pPr>
      <w:r>
        <w:t>Başkan; sınav ve akademik takvim çakışmalarında ilgili bölüm, Ders ve Sınav Programları ile Eğitim Alanları Komisyonu, Öğrenci İşleri ve Dekanlıkla ivedi eşgüdüm kurar; öğrenci hakları ile eğitim-öğretim sürekliliğini önceliklendirir.</w:t>
      </w:r>
    </w:p>
    <w:p w:rsidR="001A4670" w:rsidRDefault="00EF5986">
      <w:pPr>
        <w:pStyle w:val="LegalClause"/>
        <w:numPr>
          <w:ilvl w:val="0"/>
          <w:numId w:val="9"/>
        </w:numPr>
      </w:pPr>
      <w:r>
        <w:t>Başkan; SBK Sergi Yönergesi kapsamındaki başvuruların yetkili SBK Sergi Değerlendirme Komisyonuna yönlendirilmesini ve sonuçların kurumsal takvime işlenmesini sağlar; sanatsal değerlendirme kararına müdahale etmez.</w:t>
      </w:r>
    </w:p>
    <w:p w:rsidR="001A4670" w:rsidRDefault="00EF5986">
      <w:pPr>
        <w:pStyle w:val="Balk2"/>
      </w:pPr>
      <w:r>
        <w:t>MADDE 9 – Birim Temsilcilerinin Görevleri</w:t>
      </w:r>
    </w:p>
    <w:p w:rsidR="001A4670" w:rsidRDefault="00EF5986">
      <w:pPr>
        <w:pStyle w:val="LegalClause"/>
        <w:numPr>
          <w:ilvl w:val="0"/>
          <w:numId w:val="10"/>
        </w:numPr>
      </w:pPr>
      <w:r>
        <w:t>Birim temsilcisi; birimin yıllık faaliyet önerilerini toplar, önceliklendirir, birim içi çakışmaları çözer ve gerekli belgelerle Komisyona sunar.</w:t>
      </w:r>
    </w:p>
    <w:p w:rsidR="001A4670" w:rsidRDefault="00EF5986">
      <w:pPr>
        <w:pStyle w:val="LegalClause"/>
        <w:numPr>
          <w:ilvl w:val="0"/>
          <w:numId w:val="10"/>
        </w:numPr>
      </w:pPr>
      <w:r>
        <w:t>Temsilci; ders, atölye, jüri, sınav, mekân, teknik altyapı ve öğrenci görevlendirmelerine ilişkin güncel bilgiyi Komisyona aktarır; Komisyon kararlarını birimine iletir ve uygulama kanıtlarının süresinde toplanmasını sağlar.</w:t>
      </w:r>
    </w:p>
    <w:p w:rsidR="001A4670" w:rsidRDefault="00EF5986">
      <w:pPr>
        <w:pStyle w:val="LegalClause"/>
        <w:numPr>
          <w:ilvl w:val="0"/>
          <w:numId w:val="10"/>
        </w:numPr>
      </w:pPr>
      <w:r>
        <w:t>Temsilci, yalnızca kendi biriminin taleplerini savunmakla sınırlı değildir; Fakülte bütününün kapasitesi, bölümler arası denge, ortak üretim ve öğrenci yararı doğrultusunda görev yapar.</w:t>
      </w:r>
    </w:p>
    <w:p w:rsidR="001A4670" w:rsidRDefault="00EF5986">
      <w:pPr>
        <w:pStyle w:val="Balk2"/>
      </w:pPr>
      <w:r>
        <w:t>MADDE 10 – Sekretarya, Raportörlük ve Çalışma Grupları</w:t>
      </w:r>
    </w:p>
    <w:p w:rsidR="001A4670" w:rsidRDefault="00EF5986">
      <w:pPr>
        <w:pStyle w:val="LegalClause"/>
        <w:numPr>
          <w:ilvl w:val="0"/>
          <w:numId w:val="11"/>
        </w:numPr>
      </w:pPr>
      <w:r>
        <w:t>Sekretarya; çağrı, gündem, başvuru kaydı, toplantı tutanağı, karar numarası, imza, resmî yazışma, takvim, arşiv, rapor ve erişim yetkisi işlemlerini yürütür.</w:t>
      </w:r>
    </w:p>
    <w:p w:rsidR="001A4670" w:rsidRDefault="00EF5986">
      <w:pPr>
        <w:pStyle w:val="LegalClause"/>
        <w:numPr>
          <w:ilvl w:val="0"/>
          <w:numId w:val="11"/>
        </w:numPr>
      </w:pPr>
      <w:r>
        <w:t>Her başvuru için Başkan tarafından bir raportör görevlendirilebilir. Raportör dosyanın tamlığını, takvim ve sınav çakışmasını, mekân-kaynak ihtiyacını, riskleri ve gerekli izinleri inceleyerek kısa rapor hazırlar.</w:t>
      </w:r>
    </w:p>
    <w:p w:rsidR="001A4670" w:rsidRDefault="00EF5986">
      <w:pPr>
        <w:pStyle w:val="LegalClause"/>
        <w:numPr>
          <w:ilvl w:val="0"/>
          <w:numId w:val="11"/>
        </w:numPr>
      </w:pPr>
      <w:r>
        <w:t>Komisyon; belirli bir festival, tören, sergi dizisi, kültür programı, uluslararası etkinlik veya teknik konu için süreli çalışma grubu kurabilir. Çalışma grupları karar organı değildir ve sonuçlarını Komisyona sunar.</w:t>
      </w:r>
    </w:p>
    <w:p w:rsidR="001A4670" w:rsidRDefault="00EF5986">
      <w:pPr>
        <w:pStyle w:val="LegalClause"/>
        <w:numPr>
          <w:ilvl w:val="0"/>
          <w:numId w:val="11"/>
        </w:numPr>
      </w:pPr>
      <w:r>
        <w:lastRenderedPageBreak/>
        <w:t>Öğrenci, mezun, dış paydaş, sanatçı, kültür profesyoneli, teknik uzman veya ilgili birim temsilcisi gündemin niteliğine göre görüşüne başvurulmak üzere toplantıya davet edilebilir; davetlilerin oy hakkı yoktur.</w:t>
      </w:r>
    </w:p>
    <w:p w:rsidR="001A4670" w:rsidRDefault="00EF5986">
      <w:pPr>
        <w:pStyle w:val="Balk2"/>
      </w:pPr>
      <w:r>
        <w:t>MADDE 11 – Çıkar Çatışması, Tarafsızlık ve Gizlilik</w:t>
      </w:r>
    </w:p>
    <w:p w:rsidR="001A4670" w:rsidRDefault="00EF5986">
      <w:pPr>
        <w:pStyle w:val="LegalClause"/>
        <w:numPr>
          <w:ilvl w:val="0"/>
          <w:numId w:val="12"/>
        </w:numPr>
      </w:pPr>
      <w:r>
        <w:t>Başkan veya üye; kendisinin, yakınının, doğrudan öğrencisinin, ortağının ya da menfaat ilişkisi bulunan kişinin başvurusunun görüşülmesine ve oylanmasına katılamaz. Durum tutanağa yazılır ve karar yeter sayısı ilgili üye hariç hesaplanır.</w:t>
      </w:r>
    </w:p>
    <w:p w:rsidR="001A4670" w:rsidRDefault="00EF5986">
      <w:pPr>
        <w:pStyle w:val="LegalClause"/>
        <w:numPr>
          <w:ilvl w:val="0"/>
          <w:numId w:val="12"/>
        </w:numPr>
      </w:pPr>
      <w:r>
        <w:t>Henüz kamuya açıklanmamış eser, kişisel veri, jüri/değerlendirme bilgisi, bütçe, sözleşme, iletişim bilgisi ve güvenlik planları yalnızca görev amacıyla işlenir; yetkisiz kişilerle paylaşılmaz.</w:t>
      </w:r>
    </w:p>
    <w:p w:rsidR="001A4670" w:rsidRDefault="00EF5986">
      <w:pPr>
        <w:pStyle w:val="LegalClause"/>
        <w:numPr>
          <w:ilvl w:val="0"/>
          <w:numId w:val="12"/>
        </w:numPr>
      </w:pPr>
      <w:r>
        <w:t>Komisyon üyeleri sanatsal görüş farklılığını ret gerekçesi yapamaz; değerlendirme ölçütleri, somut riskler ve yürürlükteki düzenlemelerle sınırlı kalır.</w:t>
      </w:r>
    </w:p>
    <w:p w:rsidR="001A4670" w:rsidRDefault="00EF5986">
      <w:pPr>
        <w:pStyle w:val="Balk1"/>
        <w:pBdr>
          <w:bottom w:val="single" w:sz="7" w:space="2" w:color="A67C36"/>
        </w:pBdr>
      </w:pPr>
      <w:r>
        <w:t>ÜÇÜNCÜ BÖLÜM - Görev Alanı, Koordinasyon ve Yıllık Planlama</w:t>
      </w:r>
    </w:p>
    <w:p w:rsidR="001A4670" w:rsidRDefault="00EF5986">
      <w:pPr>
        <w:pStyle w:val="Balk2"/>
      </w:pPr>
      <w:r>
        <w:t>MADDE 12 – Komisyonun Görevleri</w:t>
      </w:r>
    </w:p>
    <w:p w:rsidR="001A4670" w:rsidRDefault="00EF5986">
      <w:pPr>
        <w:pStyle w:val="LegalClause"/>
        <w:numPr>
          <w:ilvl w:val="0"/>
          <w:numId w:val="13"/>
        </w:numPr>
      </w:pPr>
      <w:r>
        <w:t>Komisyon; Fakültenin sanatsal ve kültürel faaliyet politikasına, stratejik planına ve toplumsal katkı hedeflerine uygun yıllık öncelikleri belirler; teklifleri ortak takvime dönüştürür.</w:t>
      </w:r>
    </w:p>
    <w:p w:rsidR="001A4670" w:rsidRDefault="00EF5986">
      <w:pPr>
        <w:pStyle w:val="LegalClause"/>
        <w:numPr>
          <w:ilvl w:val="0"/>
          <w:numId w:val="13"/>
        </w:numPr>
      </w:pPr>
      <w:r>
        <w:t>Fakülte üzerinden yürütülecek faaliyetler hakkında sanatsal/kültürel nitelik, eğitim-öğretim ve sınav takvimi, kurumsal uygunluk, uygulanabilirlik, erişilebilirlik, güvenlik, kaynak, etik, hukuk, iletişim ve etki bakımından gerekçeli görüş ve iç onay kararı oluşturur.</w:t>
      </w:r>
    </w:p>
    <w:p w:rsidR="001A4670" w:rsidRDefault="00EF5986">
      <w:pPr>
        <w:pStyle w:val="LegalClause"/>
        <w:numPr>
          <w:ilvl w:val="0"/>
          <w:numId w:val="13"/>
        </w:numPr>
      </w:pPr>
      <w:r>
        <w:t>Bölümler ve idari birimler arasında mekân, teknik ekipman, insan kaynağı, öğrenci katılımı, tanıtım, protokol, kayıt, yayın ve arşiv eşgüdümü sağlar.</w:t>
      </w:r>
    </w:p>
    <w:p w:rsidR="001A4670" w:rsidRDefault="00EF5986">
      <w:pPr>
        <w:pStyle w:val="LegalClause"/>
        <w:numPr>
          <w:ilvl w:val="0"/>
          <w:numId w:val="13"/>
        </w:numPr>
      </w:pPr>
      <w:r>
        <w:t>SBK Platformunda yürütülecek sergi süreçlerinin SBK Sergi Yönergesine uygun ilerlemesini izler; başvuru, değerlendirme, takvim, yayın ve arşiv aşamalarının birbirine bağlanmasını sağlar.</w:t>
      </w:r>
    </w:p>
    <w:p w:rsidR="001A4670" w:rsidRDefault="00EF5986">
      <w:pPr>
        <w:pStyle w:val="LegalClause"/>
        <w:numPr>
          <w:ilvl w:val="0"/>
          <w:numId w:val="13"/>
        </w:numPr>
      </w:pPr>
      <w:r>
        <w:t>Faaliyet portföyünü, katılımı, erişimi, geri bildirimi, mali ve ayni kaynak kullanımını, görünürlüğü, sürdürülebilir ortaklıkları ve toplumsal/kültürel etkiyi izler; dönem ve yıl sonu raporlarını Dekanlığa sunar.</w:t>
      </w:r>
    </w:p>
    <w:p w:rsidR="001A4670" w:rsidRDefault="00EF5986">
      <w:pPr>
        <w:pStyle w:val="Balk2"/>
      </w:pPr>
      <w:r>
        <w:t>MADDE 13 – Birimler Arası Koordinasyon</w:t>
      </w:r>
    </w:p>
    <w:p w:rsidR="001A4670" w:rsidRDefault="00EF5986">
      <w:pPr>
        <w:pStyle w:val="LegalClause"/>
        <w:numPr>
          <w:ilvl w:val="0"/>
          <w:numId w:val="14"/>
        </w:numPr>
      </w:pPr>
      <w:r>
        <w:t>Birimler, planladıkları faaliyetleri doğrudan ve dağınık biçimde ilan etmek yerine Komisyonun ortak kayıt ve takvim sistemi üzerinden bildirir.</w:t>
      </w:r>
    </w:p>
    <w:p w:rsidR="001A4670" w:rsidRDefault="00EF5986">
      <w:pPr>
        <w:pStyle w:val="LegalClause"/>
        <w:numPr>
          <w:ilvl w:val="0"/>
          <w:numId w:val="14"/>
        </w:numPr>
      </w:pPr>
      <w:r>
        <w:t>Aynı hedef kitleye, tarihe, mekâna, teknik altyapıya veya bütçeye yönelen teklifler birleştirilebilir, ardışık program hâline getirilebilir ya da gerekçesi gösterilerek farklı tarihe alınabilir.</w:t>
      </w:r>
    </w:p>
    <w:p w:rsidR="001A4670" w:rsidRDefault="00EF5986">
      <w:pPr>
        <w:pStyle w:val="LegalClause"/>
        <w:numPr>
          <w:ilvl w:val="0"/>
          <w:numId w:val="14"/>
        </w:numPr>
      </w:pPr>
      <w:r>
        <w:t>Ortak faaliyetlerde bir lider birim ve her katılımcı birimden irtibat kişisi belirlenir. Görev, bütçe, teknik ihtiyaç, iletişim, kanıt ve raporlama sorumlulukları yazılı iş planında gösterilir.</w:t>
      </w:r>
    </w:p>
    <w:p w:rsidR="001A4670" w:rsidRDefault="00EF5986">
      <w:pPr>
        <w:pStyle w:val="LegalClause"/>
        <w:numPr>
          <w:ilvl w:val="0"/>
          <w:numId w:val="14"/>
        </w:numPr>
      </w:pPr>
      <w:r>
        <w:t>Koordinasyon; birimlerin akademik ve sanatsal yetkilerini ortadan kaldırmaz. İçerik sorumluluğu faaliyeti öneren ve yürüten birimde, kurumsal eşgüdüm sorumluluğu Komisyondadır.</w:t>
      </w:r>
    </w:p>
    <w:p w:rsidR="001A4670" w:rsidRDefault="00EF5986">
      <w:pPr>
        <w:pStyle w:val="Balk2"/>
      </w:pPr>
      <w:r>
        <w:t>MADDE 14 – Paydaşlık, Ortaklık ve Dış İlişkiler</w:t>
      </w:r>
    </w:p>
    <w:p w:rsidR="001A4670" w:rsidRDefault="00EF5986">
      <w:pPr>
        <w:pStyle w:val="LegalClause"/>
        <w:numPr>
          <w:ilvl w:val="0"/>
          <w:numId w:val="15"/>
        </w:numPr>
      </w:pPr>
      <w:r>
        <w:t>Yerel yönetimler, kamu kurumları, müzeler, galeriler, kültür merkezleri, meslek kuruluşları, sivil toplum, okullar, üniversiteler, yaratıcı endüstriler, mezunlar ve uluslararası ortaklarla kurulacak iş birlikleri karşılıklılık, kamu yararı, akademik/sanatsal nitelik ve kurumsal saygınlık temelinde değerlendirilir.</w:t>
      </w:r>
    </w:p>
    <w:p w:rsidR="001A4670" w:rsidRDefault="00EF5986">
      <w:pPr>
        <w:pStyle w:val="LegalClause"/>
        <w:numPr>
          <w:ilvl w:val="0"/>
          <w:numId w:val="15"/>
        </w:numPr>
      </w:pPr>
      <w:r>
        <w:lastRenderedPageBreak/>
        <w:t>Dış paydaşa kurum adına taahhüt, resmî davet, sponsorluk, bütçe, mekân tahsisi, imza veya protokol gerektiren faaliyetlerde Komisyonun görüşü alınmadan ilan, kabul, taahhüt veya uygulama yapılamaz.</w:t>
      </w:r>
    </w:p>
    <w:p w:rsidR="001A4670" w:rsidRDefault="00EF5986">
      <w:pPr>
        <w:pStyle w:val="LegalClause"/>
        <w:numPr>
          <w:ilvl w:val="0"/>
          <w:numId w:val="15"/>
        </w:numPr>
      </w:pPr>
      <w:r>
        <w:t>Ortaklığın amacı, tarafların katkısı, görünürlük biçimi, mali/ayni yükümlülükler, telif ve veri paylaşımı, güvenlik, iptal, arşiv ve uyuşmazlık hükümleri yazılı hâle getirilir; yetkili makam onayı alınır.</w:t>
      </w:r>
    </w:p>
    <w:p w:rsidR="001A4670" w:rsidRDefault="00EF5986">
      <w:pPr>
        <w:pStyle w:val="Balk2"/>
      </w:pPr>
      <w:r>
        <w:t>MADDE 15 – Faaliyet Türleri ve Portföy Dengesi</w:t>
      </w:r>
    </w:p>
    <w:p w:rsidR="001A4670" w:rsidRDefault="00EF5986">
      <w:pPr>
        <w:pStyle w:val="LegalClause"/>
        <w:numPr>
          <w:ilvl w:val="0"/>
          <w:numId w:val="16"/>
        </w:numPr>
      </w:pPr>
      <w:r>
        <w:t>Komisyon, faaliyet portföyünü aşağıdaki ana kategoriler çerçevesinde izler:</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2350"/>
        <w:gridCol w:w="7130"/>
      </w:tblGrid>
      <w:tr w:rsidR="001A4670">
        <w:trPr>
          <w:tblHeader/>
        </w:trPr>
        <w:tc>
          <w:tcPr>
            <w:tcW w:w="235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Kategori</w:t>
            </w:r>
          </w:p>
        </w:tc>
        <w:tc>
          <w:tcPr>
            <w:tcW w:w="713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Örnek kapsam</w:t>
            </w:r>
          </w:p>
        </w:tc>
      </w:tr>
      <w:tr w:rsidR="001A4670">
        <w:trPr>
          <w:cantSplit/>
        </w:trPr>
        <w:tc>
          <w:tcPr>
            <w:tcW w:w="23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Sergi ve gösterim</w:t>
            </w:r>
          </w:p>
        </w:tc>
        <w:tc>
          <w:tcPr>
            <w:tcW w:w="713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Kişisel/karma/öğrenci sergisi; film, video, fotoğraf, dijital sanat ve tasarım gösterimi</w:t>
            </w:r>
          </w:p>
        </w:tc>
      </w:tr>
      <w:tr w:rsidR="001A4670">
        <w:trPr>
          <w:cantSplit/>
        </w:trPr>
        <w:tc>
          <w:tcPr>
            <w:tcW w:w="23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Sahne ve performans</w:t>
            </w:r>
          </w:p>
        </w:tc>
        <w:tc>
          <w:tcPr>
            <w:tcW w:w="713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Konser, dinleti, tiyatro, dans, performans, temsil, canlı sanat ve disiplinlerarası üretim</w:t>
            </w:r>
          </w:p>
        </w:tc>
      </w:tr>
      <w:tr w:rsidR="001A4670">
        <w:trPr>
          <w:cantSplit/>
        </w:trPr>
        <w:tc>
          <w:tcPr>
            <w:tcW w:w="23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Bilgi ve kültür paylaşımı</w:t>
            </w:r>
          </w:p>
        </w:tc>
        <w:tc>
          <w:tcPr>
            <w:tcW w:w="713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Söyleşi, panel, konferans, seminer, ustalık sınıfı, çalıştay ve atölye</w:t>
            </w:r>
          </w:p>
        </w:tc>
      </w:tr>
      <w:tr w:rsidR="001A4670">
        <w:trPr>
          <w:cantSplit/>
        </w:trPr>
        <w:tc>
          <w:tcPr>
            <w:tcW w:w="23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Yarışma ve seçki</w:t>
            </w:r>
          </w:p>
        </w:tc>
        <w:tc>
          <w:tcPr>
            <w:tcW w:w="713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Ulusal/uluslararası yarışma, açık çağrı, seçki, ödül ve jüri organizasyonu</w:t>
            </w:r>
          </w:p>
        </w:tc>
      </w:tr>
      <w:tr w:rsidR="001A4670">
        <w:trPr>
          <w:cantSplit/>
        </w:trPr>
        <w:tc>
          <w:tcPr>
            <w:tcW w:w="23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Toplumsal katkı</w:t>
            </w:r>
          </w:p>
        </w:tc>
        <w:tc>
          <w:tcPr>
            <w:tcW w:w="713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Kültürel miras, kent belleği, sosyal kapsayıcılık, çocuk/gençlik, dezavantajlı gruplar ve kamusal sanat</w:t>
            </w:r>
          </w:p>
        </w:tc>
      </w:tr>
      <w:tr w:rsidR="001A4670">
        <w:trPr>
          <w:cantSplit/>
        </w:trPr>
        <w:tc>
          <w:tcPr>
            <w:tcW w:w="23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Kurumsal ve özel gün</w:t>
            </w:r>
          </w:p>
        </w:tc>
        <w:tc>
          <w:tcPr>
            <w:tcW w:w="713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Anma, tören, mezuniyet, tanıtım, oryantasyon, festival, şenlik ve kurumsal temsil</w:t>
            </w:r>
          </w:p>
        </w:tc>
      </w:tr>
      <w:tr w:rsidR="001A4670">
        <w:trPr>
          <w:cantSplit/>
        </w:trPr>
        <w:tc>
          <w:tcPr>
            <w:tcW w:w="23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Dijital/hibrit</w:t>
            </w:r>
          </w:p>
        </w:tc>
        <w:tc>
          <w:tcPr>
            <w:tcW w:w="713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SBK sergisi, çevrim içi yayın, sanal gösterim, dijital arşiv, etkileşimli ve hibrit faaliyet</w:t>
            </w:r>
          </w:p>
        </w:tc>
      </w:tr>
    </w:tbl>
    <w:p w:rsidR="001A4670" w:rsidRDefault="001A4670">
      <w:pPr>
        <w:spacing w:after="20"/>
      </w:pPr>
    </w:p>
    <w:p w:rsidR="001A4670" w:rsidRDefault="00EF5986">
      <w:pPr>
        <w:pStyle w:val="LegalClause"/>
        <w:numPr>
          <w:ilvl w:val="0"/>
          <w:numId w:val="16"/>
        </w:numPr>
      </w:pPr>
      <w:r>
        <w:t>Yıllık portföyde bölüm, disiplin, hedef kitle, yerel-ulusal-uluslararası ölçek, fiziksel-dijital yöntem ve öğrenci/mezun/dış paydaş katılımı bakımından makul denge gözetilir.</w:t>
      </w:r>
    </w:p>
    <w:p w:rsidR="001A4670" w:rsidRDefault="00EF5986">
      <w:pPr>
        <w:pStyle w:val="Balk2"/>
      </w:pPr>
      <w:r>
        <w:t>MADDE 16 – Yıllık Sanat ve Kültür Takvimi</w:t>
      </w:r>
    </w:p>
    <w:p w:rsidR="001A4670" w:rsidRDefault="00EF5986">
      <w:pPr>
        <w:pStyle w:val="LegalClause"/>
        <w:numPr>
          <w:ilvl w:val="0"/>
          <w:numId w:val="17"/>
        </w:numPr>
      </w:pPr>
      <w:r>
        <w:t>Her birim, bir sonraki akademik yıla ilişkin faaliyet önerilerini akademik yıl başlamadan en az yirmi iş günü önce Komisyona bildirir. Zorunlu veya sonradan doğan faaliyetler münferit başvuru olarak değerlendirilir.</w:t>
      </w:r>
    </w:p>
    <w:p w:rsidR="001A4670" w:rsidRDefault="00EF5986">
      <w:pPr>
        <w:pStyle w:val="LegalClause"/>
        <w:numPr>
          <w:ilvl w:val="0"/>
          <w:numId w:val="17"/>
        </w:numPr>
      </w:pPr>
      <w:r>
        <w:t>Komisyon; Üniversite akademik takvimi, Fakülte sınav ve jüri programları, özel yetenek sınavı, resmî tatiller/özel günler, mekân bakımı, bütçe, teknik kapasite ve SBK yayın takvimini esas alarak taslak yıllık takvimi hazırlar ve Dekanlığın onayına sunar.</w:t>
      </w:r>
    </w:p>
    <w:p w:rsidR="001A4670" w:rsidRDefault="00EF5986">
      <w:pPr>
        <w:pStyle w:val="LegalClause"/>
        <w:numPr>
          <w:ilvl w:val="0"/>
          <w:numId w:val="17"/>
        </w:numPr>
      </w:pPr>
      <w:r>
        <w:t>Onaylanan takvim dinamik bir yönetim aracıdır. Değişiklikler sürüm numarası, gerekçe, karar tarihi ve etkilenen birimler gösterilerek kaydedilir; güncel sürüm yetkili kişilerce erişilebilir tutulur.</w:t>
      </w:r>
    </w:p>
    <w:p w:rsidR="001A4670" w:rsidRDefault="00EF5986">
      <w:pPr>
        <w:pStyle w:val="Balk2"/>
      </w:pPr>
      <w:r>
        <w:t>MADDE 17 – Mekân, Kaynak, Bütçe ve Kapasite Planlaması</w:t>
      </w:r>
    </w:p>
    <w:p w:rsidR="001A4670" w:rsidRDefault="00EF5986">
      <w:pPr>
        <w:pStyle w:val="LegalClause"/>
        <w:numPr>
          <w:ilvl w:val="0"/>
          <w:numId w:val="18"/>
        </w:numPr>
      </w:pPr>
      <w:r>
        <w:t>Mekân tahsisi; eğitim-öğretim önceliği, sınav güvenliği, kapasite, erişilebilirlik, yangın/kaçış düzeni, eser güvenliği, ses-ışık gereksinimi, kurulum-söküm süresi, temizlik ve teknik personel kapasitesi gözetilerek yapılır.</w:t>
      </w:r>
    </w:p>
    <w:p w:rsidR="001A4670" w:rsidRDefault="00EF5986">
      <w:pPr>
        <w:pStyle w:val="LegalClause"/>
        <w:numPr>
          <w:ilvl w:val="0"/>
          <w:numId w:val="18"/>
        </w:numPr>
      </w:pPr>
      <w:r>
        <w:t>Faaliyet bütçesi; tahmini gelir-gider, ayni katkı, sponsorluk, satın alma, telif, konaklama/ulaşım, teknik hizmet, güvenlik, sigorta ve beklenmeyen giderleri gösterecek biçimde hazırlanır. Komisyonun iç onayı harcama yetkisi veya bütçe garantisi doğurmaz.</w:t>
      </w:r>
    </w:p>
    <w:p w:rsidR="001A4670" w:rsidRDefault="00EF5986">
      <w:pPr>
        <w:pStyle w:val="LegalClause"/>
        <w:numPr>
          <w:ilvl w:val="0"/>
          <w:numId w:val="18"/>
        </w:numPr>
      </w:pPr>
      <w:r>
        <w:t>Sınırlı kaynaklarda öncelik; zorunlu eğitim-öğretim ve sınav işlemleri, kurumsal görevler, onaylı yıllık takvim, ortak/çok birimli faaliyet, öğrenci öğrenmesine ve toplumsal katkıya yüksek etkisi bulunan faaliyet sırasıyla değerlendirilir.</w:t>
      </w:r>
    </w:p>
    <w:p w:rsidR="001A4670" w:rsidRDefault="00EF5986">
      <w:pPr>
        <w:pStyle w:val="Balk1"/>
        <w:pBdr>
          <w:bottom w:val="single" w:sz="7" w:space="2" w:color="A67C36"/>
        </w:pBdr>
      </w:pPr>
      <w:r>
        <w:lastRenderedPageBreak/>
        <w:t>DÖRDÜNCÜ BÖLÜM - Sınav Dönemleri, Başvuru, Değerlendirme ve İç Onay</w:t>
      </w:r>
    </w:p>
    <w:p w:rsidR="001A4670" w:rsidRDefault="00EF5986">
      <w:pPr>
        <w:pStyle w:val="Balk2"/>
      </w:pPr>
      <w:r>
        <w:t>MADDE 18 – Korunan Sınav ve Değerlendirme Dönemleri</w:t>
      </w:r>
    </w:p>
    <w:p w:rsidR="001A4670" w:rsidRDefault="00EF5986">
      <w:pPr>
        <w:pStyle w:val="LegalClause"/>
        <w:numPr>
          <w:ilvl w:val="0"/>
          <w:numId w:val="19"/>
        </w:numPr>
      </w:pPr>
      <w:r>
        <w:t>Komisyon, aşağıdaki koruma düzeylerini yıllık takvime işler:</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1600"/>
        <w:gridCol w:w="3500"/>
        <w:gridCol w:w="4380"/>
      </w:tblGrid>
      <w:tr w:rsidR="001A4670">
        <w:trPr>
          <w:tblHeader/>
        </w:trPr>
        <w:tc>
          <w:tcPr>
            <w:tcW w:w="16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Koruma düzeyi</w:t>
            </w:r>
          </w:p>
        </w:tc>
        <w:tc>
          <w:tcPr>
            <w:tcW w:w="35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Kapsam</w:t>
            </w:r>
          </w:p>
        </w:tc>
        <w:tc>
          <w:tcPr>
            <w:tcW w:w="43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Asgari planlama kuralı</w:t>
            </w:r>
          </w:p>
        </w:tc>
      </w:tr>
      <w:tr w:rsidR="001A4670">
        <w:trPr>
          <w:cantSplit/>
        </w:trPr>
        <w:tc>
          <w:tcPr>
            <w:tcW w:w="16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Tam koruma</w:t>
            </w:r>
          </w:p>
        </w:tc>
        <w:tc>
          <w:tcPr>
            <w:tcW w:w="3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Yarıyıl/dönem/yıl sonu sınavları; bütünleme; tek ders; azami süre ek sınavları; özel yetenek sınavı, değerlendirme ve yerleştirme işlemleri</w:t>
            </w:r>
          </w:p>
        </w:tc>
        <w:tc>
          <w:tcPr>
            <w:tcW w:w="43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İlk sınavdan üç iş günü önce başlar, resmî programın son gününde biter. Büyük, zorunlu katılımlı, gürültülü veya mekân/teknik personel kullanan faaliyet planlanmaz.</w:t>
            </w:r>
          </w:p>
        </w:tc>
      </w:tr>
      <w:tr w:rsidR="001A4670">
        <w:trPr>
          <w:cantSplit/>
        </w:trPr>
        <w:tc>
          <w:tcPr>
            <w:tcW w:w="16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Kısmi koruma</w:t>
            </w:r>
          </w:p>
        </w:tc>
        <w:tc>
          <w:tcPr>
            <w:tcW w:w="35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Ara sınav/vize; mazeret sınavı; muafiyet, yeterlik ve seviye tespit sınavları; çevrim içi/e-sınavlar</w:t>
            </w:r>
          </w:p>
        </w:tc>
        <w:tc>
          <w:tcPr>
            <w:tcW w:w="43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Sınav gün ve saatleri ile kullanılan mekânlar korunur. Öğrenci katılımı zorunlu tutulamaz; gürültü, kalabalık ve teknik çakışma oluşturulamaz.</w:t>
            </w:r>
          </w:p>
        </w:tc>
      </w:tr>
      <w:tr w:rsidR="001A4670">
        <w:trPr>
          <w:cantSplit/>
        </w:trPr>
        <w:tc>
          <w:tcPr>
            <w:tcW w:w="16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Program bazlı koruma</w:t>
            </w:r>
          </w:p>
        </w:tc>
        <w:tc>
          <w:tcPr>
            <w:tcW w:w="3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Uygulamalı/atölye sınavı, jüri, portfolyo, proje/bitirme/diploma değerlendirmesi, lisansüstü yeterlik/tez/sanatta yeterlik savunması</w:t>
            </w:r>
          </w:p>
        </w:tc>
        <w:tc>
          <w:tcPr>
            <w:tcW w:w="43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İlgili programın hazırlık, değerlendirme ve ilan süresi esas alınır; salon, atölye, jüri üyesi, öğrenci ve teknik kaynak çakışması önlenir.</w:t>
            </w:r>
          </w:p>
        </w:tc>
      </w:tr>
    </w:tbl>
    <w:p w:rsidR="001A4670" w:rsidRDefault="001A4670">
      <w:pPr>
        <w:spacing w:after="20"/>
      </w:pPr>
    </w:p>
    <w:p w:rsidR="001A4670" w:rsidRDefault="00EF5986">
      <w:pPr>
        <w:pStyle w:val="LegalClause"/>
        <w:numPr>
          <w:ilvl w:val="0"/>
          <w:numId w:val="19"/>
        </w:numPr>
      </w:pPr>
      <w:r>
        <w:t>Resmî takvimde sonradan yapılan sınav veya tarih değişiklikleri, onaylı faaliyet takvimine kendiliğinden öncelik taşır. Etkilenen faaliyetler Madde 24 uyarınca yeniden planlanır.</w:t>
      </w:r>
    </w:p>
    <w:p w:rsidR="001A4670" w:rsidRDefault="00EF5986">
      <w:pPr>
        <w:pStyle w:val="Balk2"/>
      </w:pPr>
      <w:r>
        <w:t>MADDE 19 – Sınav Dönemlerinde Planlama Kuralları ve İstisnalar</w:t>
      </w:r>
    </w:p>
    <w:p w:rsidR="001A4670" w:rsidRDefault="00EF5986">
      <w:pPr>
        <w:pStyle w:val="LegalClause"/>
        <w:numPr>
          <w:ilvl w:val="0"/>
          <w:numId w:val="20"/>
        </w:numPr>
      </w:pPr>
      <w:r>
        <w:t>Korunan dönemlerde öğrencinin sınava hazırlanmasını, sınava erişimini, jüri/ölçme-değerlendirme tarafsızlığını veya personelin sınav görevini olumsuz etkileyebilecek faaliyet yapılamaz; öğrenciye katılım, görev, eser teslimi, prova veya kurulum zorunluluğu getirilemez.</w:t>
      </w:r>
    </w:p>
    <w:p w:rsidR="001A4670" w:rsidRDefault="00EF5986">
      <w:pPr>
        <w:pStyle w:val="LegalClause"/>
        <w:numPr>
          <w:ilvl w:val="0"/>
          <w:numId w:val="20"/>
        </w:numPr>
      </w:pPr>
      <w:r>
        <w:t>Dönem/yıl sonu öğrenci sergileri, bitirme/diploma gösterimleri ve benzeri eğitim çıktıları; ilgili sınav/jüri tamamlandıktan sonra veya değerlendirme alanından ve saatinden açık biçimde ayrılarak planlanır. Sergiye seçilme ya da sergileme biçimi, ders izlencesinde önceden tanımlanmadıkça notlandırma ölçütü yapılamaz.</w:t>
      </w:r>
    </w:p>
    <w:p w:rsidR="001A4670" w:rsidRDefault="00EF5986">
      <w:pPr>
        <w:pStyle w:val="LegalClause"/>
        <w:numPr>
          <w:ilvl w:val="0"/>
          <w:numId w:val="20"/>
        </w:numPr>
      </w:pPr>
      <w:r>
        <w:t>Asenkron SBK yayını, daha önce hazırlanmış dijital içerik veya öğrenciden eşzamanlı katılım beklemeyen düşük etkili çevrim içi faaliyet; teknik görev doğurmaması ve sınav iletişimini gölgelememesi şartıyla Başkanın gerekçeli önerisi ve Dekanlık onayıyla sürdürülebilir.</w:t>
      </w:r>
    </w:p>
    <w:p w:rsidR="001A4670" w:rsidRDefault="00EF5986">
      <w:pPr>
        <w:pStyle w:val="LegalClause"/>
        <w:numPr>
          <w:ilvl w:val="0"/>
          <w:numId w:val="20"/>
        </w:numPr>
      </w:pPr>
      <w:r>
        <w:t>Kanuni/resmî anma, Rektörlükçe verilen görev veya ertelenmesi ciddi hak kaybı doğuracak faaliyetlerde istisna uygulanabilir. İstisna kararında sınav çakışma analizi, alternatif tarih gerekçesi, katılımın gönüllülüğü, mekân/ses/güvenlik tedbirleri ve ilgili birim görüşleri yer alır.</w:t>
      </w:r>
    </w:p>
    <w:p w:rsidR="001A4670" w:rsidRDefault="00EF5986">
      <w:pPr>
        <w:pStyle w:val="Balk2"/>
      </w:pPr>
      <w:r>
        <w:t>MADDE 20 – Başvuru Süresi ve Faaliyet Dosyası</w:t>
      </w:r>
    </w:p>
    <w:p w:rsidR="001A4670" w:rsidRDefault="00EF5986">
      <w:pPr>
        <w:pStyle w:val="LegalClause"/>
        <w:numPr>
          <w:ilvl w:val="0"/>
          <w:numId w:val="21"/>
        </w:numPr>
      </w:pPr>
      <w:r>
        <w:t>Birimler, Fakülte içi standart faaliyetleri en az on beş iş günü; dış paydaş, protokol, sponsorluk, bütçe, seyahat, konuk sanatçı veya kapsamlı teknik kurulum gerektiren faaliyetleri en az otuz iş günü önce EK-1 formuyla Komisyona sunar.</w:t>
      </w:r>
    </w:p>
    <w:p w:rsidR="001A4670" w:rsidRDefault="00EF5986">
      <w:pPr>
        <w:pStyle w:val="LegalClause"/>
        <w:numPr>
          <w:ilvl w:val="0"/>
          <w:numId w:val="21"/>
        </w:numPr>
      </w:pPr>
      <w:r>
        <w:t>Başvuru dosyasında asgari olarak amaç, kapsam, faaliyet türü, tarih-saat, kurulum-söküm takvimi, mekân, hedef kitle, faaliyet sorumlusu, görev ekibi, öğrenci katılım biçimi, program, konuşmacı/sanatçı/katılımcılar, bütçe ve kaynak, teknik ihtiyaç, dış paydaşlar, risk ve güvenlik, erişilebilirlik, iletişim, kişisel veri/telif izinleri, beklenen çıktı-etki ve kanıt planı yer alır.</w:t>
      </w:r>
    </w:p>
    <w:p w:rsidR="001A4670" w:rsidRDefault="00EF5986">
      <w:pPr>
        <w:pStyle w:val="LegalClause"/>
        <w:numPr>
          <w:ilvl w:val="0"/>
          <w:numId w:val="21"/>
        </w:numPr>
      </w:pPr>
      <w:r>
        <w:t>SBK Sergi Yönergesi kapsamındaki başvurularda bu maddede sayılan bilgilere ek olarak Madde 35'teki SBK belgeleri sunulur.</w:t>
      </w:r>
    </w:p>
    <w:p w:rsidR="001A4670" w:rsidRDefault="00EF5986">
      <w:pPr>
        <w:pStyle w:val="LegalClause"/>
        <w:numPr>
          <w:ilvl w:val="0"/>
          <w:numId w:val="21"/>
        </w:numPr>
      </w:pPr>
      <w:r>
        <w:t>Eksik, imzasız, sorumlusu belirsiz veya süresi içinde yapılmayan başvuru; olağanüstü ve gerekçeli hâller dışında değerlendirmeye alınmaz.</w:t>
      </w:r>
    </w:p>
    <w:p w:rsidR="001A4670" w:rsidRDefault="00EF5986">
      <w:pPr>
        <w:pStyle w:val="Balk2"/>
      </w:pPr>
      <w:r>
        <w:lastRenderedPageBreak/>
        <w:t>MADDE 21 – Ön İnceleme ve Raportörlük</w:t>
      </w:r>
    </w:p>
    <w:p w:rsidR="001A4670" w:rsidRDefault="00EF5986">
      <w:pPr>
        <w:pStyle w:val="LegalClause"/>
        <w:numPr>
          <w:ilvl w:val="0"/>
          <w:numId w:val="22"/>
        </w:numPr>
      </w:pPr>
      <w:r>
        <w:t>Sekretarya başvuruyu kaydeder; Başkan en geç üç iş günü içinde raportör görevlendirir veya ön incelemeyi doğrudan yürütür.</w:t>
      </w:r>
    </w:p>
    <w:p w:rsidR="001A4670" w:rsidRDefault="00EF5986">
      <w:pPr>
        <w:pStyle w:val="LegalClause"/>
        <w:numPr>
          <w:ilvl w:val="0"/>
          <w:numId w:val="22"/>
        </w:numPr>
      </w:pPr>
      <w:r>
        <w:t>Ön incelemede dosya tamlığı, kapsam, takvim/sınav çakışması, mekân ve kaynak uygunluğu, gerekli izinler, kurumsal kimlik, güvenlik, erişilebilirlik, telif/KVKK ve SBK özel şartları kontrol edilir.</w:t>
      </w:r>
    </w:p>
    <w:p w:rsidR="001A4670" w:rsidRDefault="00EF5986">
      <w:pPr>
        <w:pStyle w:val="LegalClause"/>
        <w:numPr>
          <w:ilvl w:val="0"/>
          <w:numId w:val="22"/>
        </w:numPr>
      </w:pPr>
      <w:r>
        <w:t>Giderilebilir eksiklikler tek seferde ve açık biçimde başvuru sahibine bildirilir. Tamamlama süresi kural olarak beş iş günüdür; faaliyet tarihi bakımından risk varsa daha kısa makul süre verilebilir.</w:t>
      </w:r>
    </w:p>
    <w:p w:rsidR="001A4670" w:rsidRDefault="00EF5986">
      <w:pPr>
        <w:pStyle w:val="LegalClause"/>
        <w:numPr>
          <w:ilvl w:val="0"/>
          <w:numId w:val="22"/>
        </w:numPr>
      </w:pPr>
      <w:r>
        <w:t>Ön inceleme, Komisyonun içerik ve uygunluk değerlendirmesinin yerine geçmez.</w:t>
      </w:r>
    </w:p>
    <w:p w:rsidR="001A4670" w:rsidRDefault="00EF5986">
      <w:pPr>
        <w:pStyle w:val="Balk2"/>
      </w:pPr>
      <w:r>
        <w:t>MADDE 22 – Değerlendirme Ölçütleri</w:t>
      </w:r>
    </w:p>
    <w:p w:rsidR="001A4670" w:rsidRDefault="00EF5986">
      <w:pPr>
        <w:pStyle w:val="LegalClause"/>
        <w:numPr>
          <w:ilvl w:val="0"/>
          <w:numId w:val="23"/>
        </w:numPr>
      </w:pPr>
      <w:r>
        <w:t>Başvurular EK-2 formunda aşağıdaki yüz puanlık çerçeveyle değerlendirilir:</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3300"/>
        <w:gridCol w:w="5000"/>
        <w:gridCol w:w="1180"/>
      </w:tblGrid>
      <w:tr w:rsidR="001A4670">
        <w:trPr>
          <w:tblHeader/>
        </w:trPr>
        <w:tc>
          <w:tcPr>
            <w:tcW w:w="33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Ölçüt</w:t>
            </w:r>
          </w:p>
        </w:tc>
        <w:tc>
          <w:tcPr>
            <w:tcW w:w="50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İnceleme odağı</w:t>
            </w:r>
          </w:p>
        </w:tc>
        <w:tc>
          <w:tcPr>
            <w:tcW w:w="11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Puan</w:t>
            </w:r>
          </w:p>
        </w:tc>
      </w:tr>
      <w:tr w:rsidR="001A4670">
        <w:trPr>
          <w:cantSplit/>
        </w:trPr>
        <w:tc>
          <w:tcPr>
            <w:tcW w:w="33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Sanatsal/kültürel nitelik ve özgün değer</w:t>
            </w:r>
          </w:p>
        </w:tc>
        <w:tc>
          <w:tcPr>
            <w:tcW w:w="5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Amaç, kavramsal bütünlük, içerik niteliği, disipline katkı</w:t>
            </w:r>
          </w:p>
        </w:tc>
        <w:tc>
          <w:tcPr>
            <w:tcW w:w="11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25</w:t>
            </w:r>
          </w:p>
        </w:tc>
      </w:tr>
      <w:tr w:rsidR="001A4670">
        <w:trPr>
          <w:cantSplit/>
        </w:trPr>
        <w:tc>
          <w:tcPr>
            <w:tcW w:w="33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Eğitim-öğretim ve sınav takvimi uyumu</w:t>
            </w:r>
          </w:p>
        </w:tc>
        <w:tc>
          <w:tcPr>
            <w:tcW w:w="5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Sınav/jüri koruması, öğrenci yükü, mekân ve görev çakışması</w:t>
            </w:r>
          </w:p>
        </w:tc>
        <w:tc>
          <w:tcPr>
            <w:tcW w:w="11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20</w:t>
            </w:r>
          </w:p>
        </w:tc>
      </w:tr>
      <w:tr w:rsidR="001A4670">
        <w:trPr>
          <w:cantSplit/>
        </w:trPr>
        <w:tc>
          <w:tcPr>
            <w:tcW w:w="33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Uygulanabilirlik ve kaynak yeterliği</w:t>
            </w:r>
          </w:p>
        </w:tc>
        <w:tc>
          <w:tcPr>
            <w:tcW w:w="5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Ekip, zaman, mekân, teknik altyapı, bütçe ve iş planı</w:t>
            </w:r>
          </w:p>
        </w:tc>
        <w:tc>
          <w:tcPr>
            <w:tcW w:w="11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15</w:t>
            </w:r>
          </w:p>
        </w:tc>
      </w:tr>
      <w:tr w:rsidR="001A4670">
        <w:trPr>
          <w:cantSplit/>
        </w:trPr>
        <w:tc>
          <w:tcPr>
            <w:tcW w:w="33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Katılım, erişilebilirlik ve toplumsal etki</w:t>
            </w:r>
          </w:p>
        </w:tc>
        <w:tc>
          <w:tcPr>
            <w:tcW w:w="5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Hedef kitle, kapsayıcılık, erişim, paydaşlık ve beklenen etki</w:t>
            </w:r>
          </w:p>
        </w:tc>
        <w:tc>
          <w:tcPr>
            <w:tcW w:w="11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15</w:t>
            </w:r>
          </w:p>
        </w:tc>
      </w:tr>
      <w:tr w:rsidR="001A4670">
        <w:trPr>
          <w:cantSplit/>
        </w:trPr>
        <w:tc>
          <w:tcPr>
            <w:tcW w:w="33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Etik, hukuk, güvenlik ve haklar</w:t>
            </w:r>
          </w:p>
        </w:tc>
        <w:tc>
          <w:tcPr>
            <w:tcW w:w="5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KVKK, telif, izin, çocuk/kırılgan grup, İSG ve risk planı</w:t>
            </w:r>
          </w:p>
        </w:tc>
        <w:tc>
          <w:tcPr>
            <w:tcW w:w="11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10</w:t>
            </w:r>
          </w:p>
        </w:tc>
      </w:tr>
      <w:tr w:rsidR="001A4670">
        <w:trPr>
          <w:cantSplit/>
        </w:trPr>
        <w:tc>
          <w:tcPr>
            <w:tcW w:w="33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Kurumsal kimlik, iletişim ve SBK uyumu</w:t>
            </w:r>
          </w:p>
        </w:tc>
        <w:tc>
          <w:tcPr>
            <w:tcW w:w="5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Doğru temsil, yayın planı, platform/kurumsal kimlik şartları</w:t>
            </w:r>
          </w:p>
        </w:tc>
        <w:tc>
          <w:tcPr>
            <w:tcW w:w="11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10</w:t>
            </w:r>
          </w:p>
        </w:tc>
      </w:tr>
      <w:tr w:rsidR="001A4670">
        <w:trPr>
          <w:cantSplit/>
        </w:trPr>
        <w:tc>
          <w:tcPr>
            <w:tcW w:w="33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Sürdürülebilirlik ve kurumsal hafıza</w:t>
            </w:r>
          </w:p>
        </w:tc>
        <w:tc>
          <w:tcPr>
            <w:tcW w:w="5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Çevresel tedbir, kayıt, arşiv, tekrar edilebilirlik ve kanıt</w:t>
            </w:r>
          </w:p>
        </w:tc>
        <w:tc>
          <w:tcPr>
            <w:tcW w:w="11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5</w:t>
            </w:r>
          </w:p>
        </w:tc>
      </w:tr>
    </w:tbl>
    <w:p w:rsidR="001A4670" w:rsidRDefault="001A4670">
      <w:pPr>
        <w:spacing w:after="20"/>
      </w:pPr>
    </w:p>
    <w:p w:rsidR="001A4670" w:rsidRDefault="00EF5986">
      <w:pPr>
        <w:pStyle w:val="LegalClause"/>
        <w:numPr>
          <w:ilvl w:val="0"/>
          <w:numId w:val="23"/>
        </w:numPr>
      </w:pPr>
      <w:r>
        <w:t>Etik, hukuk, güvenlik, kişisel veri, telif, sınav güvenliği, bütçe yetkisi veya kurumsal taahhüt bakımından kritik uygunsuzluk bulunması hâlinde toplam puandan bağımsız olarak iç onay verilemez.</w:t>
      </w:r>
    </w:p>
    <w:p w:rsidR="001A4670" w:rsidRDefault="00EF5986">
      <w:pPr>
        <w:pStyle w:val="Balk2"/>
      </w:pPr>
      <w:r>
        <w:t>MADDE 23 – Karar Türleri, İç Onay ve Yetki Sınırı</w:t>
      </w:r>
    </w:p>
    <w:p w:rsidR="001A4670" w:rsidRDefault="00EF5986">
      <w:pPr>
        <w:pStyle w:val="LegalClause"/>
        <w:numPr>
          <w:ilvl w:val="0"/>
          <w:numId w:val="24"/>
        </w:numPr>
      </w:pPr>
      <w:r>
        <w:t>Değerlendirme sonucu aşağıdaki kararlardan biri verilir:</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1300"/>
        <w:gridCol w:w="2200"/>
        <w:gridCol w:w="5980"/>
      </w:tblGrid>
      <w:tr w:rsidR="001A4670">
        <w:trPr>
          <w:tblHeader/>
        </w:trPr>
        <w:tc>
          <w:tcPr>
            <w:tcW w:w="13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Puan</w:t>
            </w:r>
          </w:p>
        </w:tc>
        <w:tc>
          <w:tcPr>
            <w:tcW w:w="22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Karar</w:t>
            </w:r>
          </w:p>
        </w:tc>
        <w:tc>
          <w:tcPr>
            <w:tcW w:w="59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Sonuç</w:t>
            </w:r>
          </w:p>
        </w:tc>
      </w:tr>
      <w:tr w:rsidR="001A4670">
        <w:trPr>
          <w:cantSplit/>
        </w:trPr>
        <w:tc>
          <w:tcPr>
            <w:tcW w:w="13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80-100</w:t>
            </w:r>
          </w:p>
        </w:tc>
        <w:tc>
          <w:tcPr>
            <w:tcW w:w="2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Uygun / İç onay</w:t>
            </w:r>
          </w:p>
        </w:tc>
        <w:tc>
          <w:tcPr>
            <w:tcW w:w="59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Varsa yetkili makam onaylarına ve uygulama planına geçilir.</w:t>
            </w:r>
          </w:p>
        </w:tc>
      </w:tr>
      <w:tr w:rsidR="001A4670">
        <w:trPr>
          <w:cantSplit/>
        </w:trPr>
        <w:tc>
          <w:tcPr>
            <w:tcW w:w="13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70-79</w:t>
            </w:r>
          </w:p>
        </w:tc>
        <w:tc>
          <w:tcPr>
            <w:tcW w:w="2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Koşullu uygun</w:t>
            </w:r>
          </w:p>
        </w:tc>
        <w:tc>
          <w:tcPr>
            <w:tcW w:w="59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Belirtilen koşullar süresinde tamamlanıp Başkan tarafından doğrulanır.</w:t>
            </w:r>
          </w:p>
        </w:tc>
      </w:tr>
      <w:tr w:rsidR="001A4670">
        <w:trPr>
          <w:cantSplit/>
        </w:trPr>
        <w:tc>
          <w:tcPr>
            <w:tcW w:w="13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50-69</w:t>
            </w:r>
          </w:p>
        </w:tc>
        <w:tc>
          <w:tcPr>
            <w:tcW w:w="2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Revizyon</w:t>
            </w:r>
          </w:p>
        </w:tc>
        <w:tc>
          <w:tcPr>
            <w:tcW w:w="59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Başvuru yeniden düzenlenir ve Komisyonca tekrar değerlendirilir.</w:t>
            </w:r>
          </w:p>
        </w:tc>
      </w:tr>
      <w:tr w:rsidR="001A4670">
        <w:trPr>
          <w:cantSplit/>
        </w:trPr>
        <w:tc>
          <w:tcPr>
            <w:tcW w:w="13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0-49</w:t>
            </w:r>
          </w:p>
        </w:tc>
        <w:tc>
          <w:tcPr>
            <w:tcW w:w="2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Uygun değil</w:t>
            </w:r>
          </w:p>
        </w:tc>
        <w:tc>
          <w:tcPr>
            <w:tcW w:w="59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Gerekçeli ret kararı verilir; yeni başvuru yapılabilir.</w:t>
            </w:r>
          </w:p>
        </w:tc>
      </w:tr>
    </w:tbl>
    <w:p w:rsidR="001A4670" w:rsidRDefault="001A4670">
      <w:pPr>
        <w:spacing w:after="20"/>
      </w:pPr>
    </w:p>
    <w:p w:rsidR="001A4670" w:rsidRDefault="00EF5986">
      <w:pPr>
        <w:pStyle w:val="LegalClause"/>
        <w:numPr>
          <w:ilvl w:val="0"/>
          <w:numId w:val="24"/>
        </w:numPr>
      </w:pPr>
      <w:r>
        <w:t>Fakülte adı, logosu, resmî temsil gücü, bütçesi, personeli, öğrencisi, mekânı, altyapısı, dijital kanalı veya kurumsal ortağı kullanılarak yürütülecek faaliyet; Komisyonun yazılı görüşü ve iç onayı olmadan ilan edilemez, dış paydaşa taahhüt edilemez ve uygulamaya geçirilemez.</w:t>
      </w:r>
    </w:p>
    <w:p w:rsidR="001A4670" w:rsidRDefault="00EF5986">
      <w:pPr>
        <w:pStyle w:val="LegalClause"/>
        <w:numPr>
          <w:ilvl w:val="0"/>
          <w:numId w:val="24"/>
        </w:numPr>
      </w:pPr>
      <w:r>
        <w:t>İç onay; Dekan, Fakülte Kurulu, Fakülte Yönetim Kurulu, Rektörlük, Senato, harcama yetkilisi, hukuk birimi, güvenlik birimi, etik kurul, SBK Sergi Değerlendirme Komisyonu veya diğer yetkili makamların karar ve izinlerinin yerine geçmez.</w:t>
      </w:r>
    </w:p>
    <w:p w:rsidR="001A4670" w:rsidRDefault="00EF5986">
      <w:pPr>
        <w:pStyle w:val="LegalClause"/>
        <w:numPr>
          <w:ilvl w:val="0"/>
          <w:numId w:val="24"/>
        </w:numPr>
      </w:pPr>
      <w:r>
        <w:t>Karar; faaliyetin sorumlusu, kapsamı, tarihi, mekânı, koşulları, bütçe sınırı, gerekli izinler, kanıtlar ve geçerlilik süresini içerecek şekilde gerekçeli yazılır.</w:t>
      </w:r>
    </w:p>
    <w:p w:rsidR="001A4670" w:rsidRDefault="00EF5986">
      <w:pPr>
        <w:pStyle w:val="Balk2"/>
      </w:pPr>
      <w:r>
        <w:lastRenderedPageBreak/>
        <w:t>MADDE 24 – Değişiklik, Erteleme, İptal ve Acil Durum</w:t>
      </w:r>
    </w:p>
    <w:p w:rsidR="001A4670" w:rsidRDefault="00EF5986">
      <w:pPr>
        <w:pStyle w:val="LegalClause"/>
        <w:numPr>
          <w:ilvl w:val="0"/>
          <w:numId w:val="25"/>
        </w:numPr>
      </w:pPr>
      <w:r>
        <w:t>Onaydan sonra tarih, mekân, içerik, sorumlu, hedef kitle, bütçe, dış ortak, konuşmacı/sanatçı, güvenlik veya öğrenci katılımında önemli değişiklik yapılacaksa uygulamadan önce Komisyona değişiklik bildirimi sunulur.</w:t>
      </w:r>
    </w:p>
    <w:p w:rsidR="001A4670" w:rsidRDefault="00EF5986">
      <w:pPr>
        <w:pStyle w:val="LegalClause"/>
        <w:numPr>
          <w:ilvl w:val="0"/>
          <w:numId w:val="25"/>
        </w:numPr>
      </w:pPr>
      <w:r>
        <w:t>Sınav takvimi değişikliği, afet, güvenlik riski, kamu sağlığı, teknik arıza, sanatçı/konuşmacı mazereti veya yetkili makam kararı hâlinde Başkan; faaliyeti geçici olarak durdurabilir, erteleyebilir veya acil tedbir alabilir. Karar ilk Komisyon toplantısında tutanağa bağlanır ve Dekanlığa sunulur.</w:t>
      </w:r>
    </w:p>
    <w:p w:rsidR="001A4670" w:rsidRDefault="00EF5986">
      <w:pPr>
        <w:pStyle w:val="LegalClause"/>
        <w:numPr>
          <w:ilvl w:val="0"/>
          <w:numId w:val="25"/>
        </w:numPr>
      </w:pPr>
      <w:r>
        <w:t>İptal veya erteleme; katılımcı, öğrenci, dış paydaş, hizmet sağlayıcı ve kamuoyuna yetkili iletişim kanallarından zamanında bildirilir; doğan mali, hukuki ve arşivsel yükümlülükler kapatılır.</w:t>
      </w:r>
    </w:p>
    <w:p w:rsidR="001A4670" w:rsidRDefault="00EF5986">
      <w:pPr>
        <w:pStyle w:val="Balk1"/>
        <w:pBdr>
          <w:bottom w:val="single" w:sz="7" w:space="2" w:color="A67C36"/>
        </w:pBdr>
      </w:pPr>
      <w:r>
        <w:t>BEŞİNCİ BÖLÜM - Uygulama, İletişim, Güvenlik, Etik ve Haklar</w:t>
      </w:r>
    </w:p>
    <w:p w:rsidR="001A4670" w:rsidRDefault="00EF5986">
      <w:pPr>
        <w:pStyle w:val="Balk2"/>
      </w:pPr>
      <w:r>
        <w:t>MADDE 25 – Faaliyet Sorumlusu ve Uygulama Ekibi</w:t>
      </w:r>
    </w:p>
    <w:p w:rsidR="001A4670" w:rsidRDefault="00EF5986">
      <w:pPr>
        <w:pStyle w:val="LegalClause"/>
        <w:numPr>
          <w:ilvl w:val="0"/>
          <w:numId w:val="26"/>
        </w:numPr>
      </w:pPr>
      <w:r>
        <w:t>Her faaliyet için bir faaliyet sorumlusu belirlenir. Sorumlu; onay koşullarına uygun hazırlık, görev dağılımı, mekân teslimi, teknik prova, katılımcı/konuk iletişimi, güvenlik, izin, uygulama, kapanış, kanıt ve raporlamadan sorumludur.</w:t>
      </w:r>
    </w:p>
    <w:p w:rsidR="001A4670" w:rsidRDefault="00EF5986">
      <w:pPr>
        <w:pStyle w:val="LegalClause"/>
        <w:numPr>
          <w:ilvl w:val="0"/>
          <w:numId w:val="26"/>
        </w:numPr>
      </w:pPr>
      <w:r>
        <w:t>Faaliyet sorumlusu, öğrencilere verilecek görevlerin gönüllülük, eğitim amacı, iş yükü, erişilebilirlik, güvenlik ve sınav takvimi bakımından uygunluğunu sağlar; öğrencinin akademik hakkını olumsuz etkileyen görevlendirme yapamaz.</w:t>
      </w:r>
    </w:p>
    <w:p w:rsidR="001A4670" w:rsidRDefault="00EF5986">
      <w:pPr>
        <w:pStyle w:val="LegalClause"/>
        <w:numPr>
          <w:ilvl w:val="0"/>
          <w:numId w:val="26"/>
        </w:numPr>
      </w:pPr>
      <w:r>
        <w:t>Kurulum ve söküm dâhil tüm faaliyet, onaylı zaman ve alan sınırında yürütülür. Ortaya çıkan zarar, kayıp, güvenlik ihlali veya uygunsuzluk derhâl Başkan ve Dekanlığa bildirilir.</w:t>
      </w:r>
    </w:p>
    <w:p w:rsidR="001A4670" w:rsidRDefault="00EF5986">
      <w:pPr>
        <w:pStyle w:val="Balk2"/>
      </w:pPr>
      <w:r>
        <w:t>MADDE 26 – Kurumsal Kimlik, Duyuru ve İletişim</w:t>
      </w:r>
    </w:p>
    <w:p w:rsidR="001A4670" w:rsidRDefault="00EF5986">
      <w:pPr>
        <w:pStyle w:val="LegalClause"/>
        <w:numPr>
          <w:ilvl w:val="0"/>
          <w:numId w:val="27"/>
        </w:numPr>
      </w:pPr>
      <w:r>
        <w:t>Afiş, davetiye, katalog, program, basın bülteni, sosyal medya, web/SBK içeriği, yönlendirme ve sahne görselleri Üniversite/Fakülte kurumsal kimlik kurallarına uygun hazırlanır.</w:t>
      </w:r>
    </w:p>
    <w:p w:rsidR="001A4670" w:rsidRDefault="00EF5986">
      <w:pPr>
        <w:pStyle w:val="LegalClause"/>
        <w:numPr>
          <w:ilvl w:val="0"/>
          <w:numId w:val="27"/>
        </w:numPr>
      </w:pPr>
      <w:r>
        <w:t>Komisyon iç onayı ve gerekli makam izinleri tamamlanmadan tarih, konuk, ortak, sponsor, logo veya program kesinleşmiş gibi kamuya duyurulamaz. Taslaklar yanlış anlaşılmayı önleyecek biçimde işaretlenir.</w:t>
      </w:r>
    </w:p>
    <w:p w:rsidR="001A4670" w:rsidRDefault="00EF5986">
      <w:pPr>
        <w:pStyle w:val="LegalClause"/>
        <w:numPr>
          <w:ilvl w:val="0"/>
          <w:numId w:val="27"/>
        </w:numPr>
      </w:pPr>
      <w:r>
        <w:t>Duyurularda etkinliğin erişilebilirlik bilgisi, mekân/çevrim içi bağlantı, tarih-saat, kayıt/başvuru şartı, kapasite, dil, yaş sınırı ve gerekli uyarılar açıkça yer alır.</w:t>
      </w:r>
    </w:p>
    <w:p w:rsidR="001A4670" w:rsidRDefault="00EF5986">
      <w:pPr>
        <w:pStyle w:val="LegalClause"/>
        <w:numPr>
          <w:ilvl w:val="0"/>
          <w:numId w:val="27"/>
        </w:numPr>
      </w:pPr>
      <w:r>
        <w:t>Kriz, iptal veya tartışmalı içerik hakkında kurumsal açıklama yalnızca yetkili makam veya görevlendirilen kişi tarafından yapılır.</w:t>
      </w:r>
    </w:p>
    <w:p w:rsidR="001A4670" w:rsidRDefault="00EF5986">
      <w:pPr>
        <w:pStyle w:val="Balk2"/>
      </w:pPr>
      <w:r>
        <w:t>MADDE 27 – Öğrenci Katılımı ve Eğitim-Öğretimle İlişki</w:t>
      </w:r>
    </w:p>
    <w:p w:rsidR="001A4670" w:rsidRDefault="00EF5986">
      <w:pPr>
        <w:pStyle w:val="LegalClause"/>
        <w:numPr>
          <w:ilvl w:val="0"/>
          <w:numId w:val="28"/>
        </w:numPr>
      </w:pPr>
      <w:r>
        <w:t>Öğrenci katılımı; izleyici, sanatçı/tasarımcı, icracı, küratör, moderatör, araştırmacı, teknik ekip, iletişim ekibi veya gönüllü rolünde açık görev ve öğrenme çıktılarıyla planlanabilir.</w:t>
      </w:r>
    </w:p>
    <w:p w:rsidR="001A4670" w:rsidRDefault="00EF5986">
      <w:pPr>
        <w:pStyle w:val="LegalClause"/>
        <w:numPr>
          <w:ilvl w:val="0"/>
          <w:numId w:val="28"/>
        </w:numPr>
      </w:pPr>
      <w:r>
        <w:t>Ders kapsamında zorunlu faaliyet, ders izlencesinde önceden tanımlanır; değerlendirme ölçütü, alternatif erişim ve mazeret düzeni açıkça bildirilir. Ders dışı etkinliğe katılmama öğrenci aleyhine akademik sonuç doğuramaz.</w:t>
      </w:r>
    </w:p>
    <w:p w:rsidR="001A4670" w:rsidRDefault="00EF5986">
      <w:pPr>
        <w:pStyle w:val="LegalClause"/>
        <w:numPr>
          <w:ilvl w:val="0"/>
          <w:numId w:val="28"/>
        </w:numPr>
      </w:pPr>
      <w:r>
        <w:t>Çocuk veya on sekiz yaş altı katılımcı bulunan faaliyetlerde veli/vasî izni, görüntü/ses kaydı, gözetim, güvenli ulaşım, uygun içerik ve kişisel veri tedbirleri ayrıca alınır.</w:t>
      </w:r>
    </w:p>
    <w:p w:rsidR="001A4670" w:rsidRDefault="00EF5986">
      <w:pPr>
        <w:pStyle w:val="Balk2"/>
      </w:pPr>
      <w:r>
        <w:lastRenderedPageBreak/>
        <w:t>MADDE 28 – Erişilebilirlik, Güvenlik ve Sürdürülebilirlik</w:t>
      </w:r>
    </w:p>
    <w:p w:rsidR="001A4670" w:rsidRDefault="00EF5986">
      <w:pPr>
        <w:pStyle w:val="LegalClause"/>
        <w:numPr>
          <w:ilvl w:val="0"/>
          <w:numId w:val="29"/>
        </w:numPr>
      </w:pPr>
      <w:r>
        <w:t>Faaliyetler fiziksel, duyusal, bilişsel ve dijital erişilebilirlik bakımından planlanır; makul düzenleme, erişilebilir mekân/rota, altyazı veya işaret dili imkânı, okunabilir görsel dil, alternatif metin ve erişilebilir belge seçenekleri bütçe ve teknik imkânlar ölçüsünde sağlanır.</w:t>
      </w:r>
    </w:p>
    <w:p w:rsidR="001A4670" w:rsidRDefault="00EF5986">
      <w:pPr>
        <w:pStyle w:val="LegalClause"/>
        <w:numPr>
          <w:ilvl w:val="0"/>
          <w:numId w:val="29"/>
        </w:numPr>
      </w:pPr>
      <w:r>
        <w:t>Risk değerlendirmesinde kapasite, acil çıkış, elektrik/yangın, sahne ve asma sistemleri, ağır/kırılabilir eser, kimyasal madde, açık alev, gürültü, kalabalık, açık alan/hava, ulaşım, sağlık, güvenlik, sigorta ve eser koruma tedbirleri ele alınır.</w:t>
      </w:r>
    </w:p>
    <w:p w:rsidR="001A4670" w:rsidRDefault="00EF5986">
      <w:pPr>
        <w:pStyle w:val="LegalClause"/>
        <w:numPr>
          <w:ilvl w:val="0"/>
          <w:numId w:val="29"/>
        </w:numPr>
      </w:pPr>
      <w:r>
        <w:t>Tek kullanımlık malzeme, enerji, baskı, taşıma ve atık azaltılır; yeniden kullanım, dijital duyuru, yerel tedarik ve çevresel etkisi düşük uygulamalar teşvik edilir.</w:t>
      </w:r>
    </w:p>
    <w:p w:rsidR="001A4670" w:rsidRDefault="00EF5986">
      <w:pPr>
        <w:pStyle w:val="Balk2"/>
      </w:pPr>
      <w:r>
        <w:t>MADDE 29 – Etik, Hukuka Uygunluk ve Kişisel Veriler</w:t>
      </w:r>
    </w:p>
    <w:p w:rsidR="001A4670" w:rsidRDefault="00EF5986">
      <w:pPr>
        <w:pStyle w:val="LegalClause"/>
        <w:numPr>
          <w:ilvl w:val="0"/>
          <w:numId w:val="30"/>
        </w:numPr>
      </w:pPr>
      <w:r>
        <w:t>Faaliyet; ayrımcılık, nefret söylemi, taciz, şiddeti özendirme, kişilik hakkı ihlali, yanıltıcı bilgi, izinsiz ticari kullanım veya hukuka aykırı içerik barındıramaz. Sanatsal bağlam, eleştirel ifade ve tarihsel belgeleme değerlendirilirken ölçülülük ve bağlam ilkesi gözetilir.</w:t>
      </w:r>
    </w:p>
    <w:p w:rsidR="001A4670" w:rsidRDefault="00EF5986">
      <w:pPr>
        <w:pStyle w:val="LegalClause"/>
        <w:numPr>
          <w:ilvl w:val="0"/>
          <w:numId w:val="30"/>
        </w:numPr>
      </w:pPr>
      <w:r>
        <w:t>Katılımcı, başvuru sahibi, izleyici, öğrenci ve konuklara ait kişisel veriler belirli, açık ve meşru amaçla; gerekli olanla sınırlı ve uygun aydınlatma/izin süreçleriyle işlenir. Katılımcı listeleri ve iletişim verileri açık biçimde yayımlanamaz.</w:t>
      </w:r>
    </w:p>
    <w:p w:rsidR="001A4670" w:rsidRDefault="00EF5986">
      <w:pPr>
        <w:pStyle w:val="LegalClause"/>
        <w:numPr>
          <w:ilvl w:val="0"/>
          <w:numId w:val="30"/>
        </w:numPr>
      </w:pPr>
      <w:r>
        <w:t>Hassas içerik, travma, çıplaklık, ışık/yanıp sönme, yüksek ses, yaş sınırlaması veya benzeri durumlar için içerik uyarısı ve uygun erişim tedbiri kullanılır.</w:t>
      </w:r>
    </w:p>
    <w:p w:rsidR="001A4670" w:rsidRDefault="00EF5986">
      <w:pPr>
        <w:pStyle w:val="Balk2"/>
      </w:pPr>
      <w:r>
        <w:t>MADDE 30 – Telif, Fikrî Haklar ve Görsel-İşitsel Kayıt</w:t>
      </w:r>
    </w:p>
    <w:p w:rsidR="001A4670" w:rsidRDefault="00EF5986">
      <w:pPr>
        <w:pStyle w:val="LegalClause"/>
        <w:numPr>
          <w:ilvl w:val="0"/>
          <w:numId w:val="31"/>
        </w:numPr>
      </w:pPr>
      <w:r>
        <w:t>Faaliyette kullanılan eser, müzik, film, fotoğraf, metin, tasarım, yazılım, arşiv belgesi, yapay zekâ ile üretilen/işlenen içerik ve üçüncü kişilere ait diğer unsurlar için gerekli telif, lisans, atıf ve kullanım izinleri faaliyet sorumlusu tarafından sağlanır.</w:t>
      </w:r>
    </w:p>
    <w:p w:rsidR="001A4670" w:rsidRDefault="00EF5986">
      <w:pPr>
        <w:pStyle w:val="LegalClause"/>
        <w:numPr>
          <w:ilvl w:val="0"/>
          <w:numId w:val="31"/>
        </w:numPr>
      </w:pPr>
      <w:r>
        <w:t>Eser sahipliği başvuru sahibinde kalır. Fakülteye tanınan sergileme, duyuru ve arşiv kullanım hakkının kapsamı, süresi, mecrası ve devredilebilirliği açık izinle belirlenir.</w:t>
      </w:r>
    </w:p>
    <w:p w:rsidR="001A4670" w:rsidRDefault="00EF5986">
      <w:pPr>
        <w:pStyle w:val="LegalClause"/>
        <w:numPr>
          <w:ilvl w:val="0"/>
          <w:numId w:val="31"/>
        </w:numPr>
      </w:pPr>
      <w:r>
        <w:t>Fotoğraf, video, ses kaydı veya canlı yayın yapılacaksa kayıt amacı ve kullanım mecraları önceden bildirilir; gerekli açık rıza/izin alınır ve kayıt yapılmamasını isteyenler için uygulanabilir yöntem oluşturulur.</w:t>
      </w:r>
    </w:p>
    <w:p w:rsidR="001A4670" w:rsidRDefault="00EF5986">
      <w:pPr>
        <w:pStyle w:val="Balk2"/>
      </w:pPr>
      <w:r>
        <w:t>MADDE 31 – Sponsorluk, Protokol, Konuk ve Seyahat İşlemleri</w:t>
      </w:r>
    </w:p>
    <w:p w:rsidR="001A4670" w:rsidRDefault="00EF5986">
      <w:pPr>
        <w:pStyle w:val="LegalClause"/>
        <w:numPr>
          <w:ilvl w:val="0"/>
          <w:numId w:val="32"/>
        </w:numPr>
      </w:pPr>
      <w:r>
        <w:t>Sponsor veya destekçinin faaliyetin akademik/sanatsal bağımsızlığına, seçici kurul kararına, öğrenci haklarına veya kurumsal iletişime müdahale etmesine izin verilmez. Tütün, bağımlılık, nefret, ayrımcılık veya Üniversite değerleriyle bağdaşmayan tanıtımlar kabul edilmez.</w:t>
      </w:r>
    </w:p>
    <w:p w:rsidR="001A4670" w:rsidRDefault="00EF5986">
      <w:pPr>
        <w:pStyle w:val="LegalClause"/>
        <w:numPr>
          <w:ilvl w:val="0"/>
          <w:numId w:val="32"/>
        </w:numPr>
      </w:pPr>
      <w:r>
        <w:t>Konuk sanatçı/konuşmacı daveti, ücret/telif, ulaşım, konaklama, vize, sigorta, teknik koşul ve protokol işlemleri ilgili mali ve idari mevzuata uygun biçimde ve yetkili makam onayıyla yürütülür.</w:t>
      </w:r>
    </w:p>
    <w:p w:rsidR="001A4670" w:rsidRDefault="00EF5986">
      <w:pPr>
        <w:pStyle w:val="LegalClause"/>
        <w:numPr>
          <w:ilvl w:val="0"/>
          <w:numId w:val="32"/>
        </w:numPr>
      </w:pPr>
      <w:r>
        <w:t>Yurt içi/yurt dışı seyahat, eser nakli, gümrük, sigorta veya kurye gerektiren faaliyetlerde sorumluluk, maliyet ve risk paylaşımı yazılı olarak belirlenir.</w:t>
      </w:r>
    </w:p>
    <w:p w:rsidR="001A4670" w:rsidRDefault="00EF5986">
      <w:pPr>
        <w:pStyle w:val="Balk2"/>
      </w:pPr>
      <w:r>
        <w:t>MADDE 32 – Çevrim İçi, Hibrit ve Yapay Zekâ Destekli Faaliyetler</w:t>
      </w:r>
    </w:p>
    <w:p w:rsidR="001A4670" w:rsidRDefault="00EF5986">
      <w:pPr>
        <w:pStyle w:val="LegalClause"/>
        <w:numPr>
          <w:ilvl w:val="0"/>
          <w:numId w:val="33"/>
        </w:numPr>
      </w:pPr>
      <w:r>
        <w:t>Çevrim içi veya hibrit faaliyette platform güvenliği, bağlantı, yedek kayıt, erişim yetkisi, moderasyon, altyazı, kişisel veri, telif, siber güvenlik ve çevrim içi davranış kuralları önceden planlanır.</w:t>
      </w:r>
    </w:p>
    <w:p w:rsidR="001A4670" w:rsidRDefault="00EF5986">
      <w:pPr>
        <w:pStyle w:val="LegalClause"/>
        <w:numPr>
          <w:ilvl w:val="0"/>
          <w:numId w:val="33"/>
        </w:numPr>
      </w:pPr>
      <w:r>
        <w:t>Üretken yapay zekâ kullanılan eser, afiş, metin, çeviri, ses, görüntü veya seçki süreçlerinde kullanımın niteliği ve insan katkısı uygun ölçüde açıklanır; çıktılar insan denetiminden geçirilir; telif, kişilik hakkı, veri kaynağı, önyargı ve yanıltma riskleri değerlendirilir.</w:t>
      </w:r>
    </w:p>
    <w:p w:rsidR="001A4670" w:rsidRDefault="00EF5986">
      <w:pPr>
        <w:pStyle w:val="LegalClause"/>
        <w:numPr>
          <w:ilvl w:val="0"/>
          <w:numId w:val="33"/>
        </w:numPr>
      </w:pPr>
      <w:r>
        <w:lastRenderedPageBreak/>
        <w:t>Yapay zekâ sistemi tek başına jüri, kabul/ret, ödül veya öğrenci değerlendirmesi kararı veremez. Nihai karar ve sorumluluk yetkili kişilerde kalır.</w:t>
      </w:r>
    </w:p>
    <w:p w:rsidR="001A4670" w:rsidRDefault="00EF5986">
      <w:pPr>
        <w:pStyle w:val="Balk1"/>
        <w:pBdr>
          <w:bottom w:val="single" w:sz="7" w:space="2" w:color="A67C36"/>
        </w:pBdr>
      </w:pPr>
      <w:r>
        <w:t>ALTINCI BÖLÜM - SBK Çevrim İçi Sergi Platformu ile Uyum</w:t>
      </w:r>
    </w:p>
    <w:p w:rsidR="001A4670" w:rsidRDefault="00EF5986">
      <w:pPr>
        <w:pStyle w:val="Balk2"/>
      </w:pPr>
      <w:r>
        <w:t>MADDE 33 – SBK Yönergesiyle İlişki ve Yetki Ayrımı</w:t>
      </w:r>
    </w:p>
    <w:p w:rsidR="001A4670" w:rsidRDefault="00EF5986">
      <w:pPr>
        <w:pStyle w:val="LegalClause"/>
        <w:numPr>
          <w:ilvl w:val="0"/>
          <w:numId w:val="34"/>
        </w:numPr>
      </w:pPr>
      <w:r>
        <w:t>SBK Platformunda sergi açma başvuruları, SBK Çevrim İçi Sergi Platformu Sergi Yönergesine tabidir. Bu Komisyon; birimler arası koordinasyon, yıllık takvim, sınav çakışması, kurumsal iletişim, kaynak, kayıt ve etki izleme işlerini yürütür.</w:t>
      </w:r>
    </w:p>
    <w:p w:rsidR="001A4670" w:rsidRDefault="00EF5986">
      <w:pPr>
        <w:pStyle w:val="LegalClause"/>
        <w:numPr>
          <w:ilvl w:val="0"/>
          <w:numId w:val="34"/>
        </w:numPr>
      </w:pPr>
      <w:r>
        <w:t>SBK sergi başvurusunun sanatsal ve akademik nitelik yönünden kabul veya reddi, SBK Sergi Yönergesinde öngörülen beş kişilik SBK Sergi Değerlendirme Komisyonuna aittir. Sanatsal değerlendirme kararı bu Komisyon veya tek başına Başkan tarafından değiştirilemez.</w:t>
      </w:r>
    </w:p>
    <w:p w:rsidR="001A4670" w:rsidRDefault="00EF5986">
      <w:pPr>
        <w:pStyle w:val="LegalClause"/>
        <w:numPr>
          <w:ilvl w:val="0"/>
          <w:numId w:val="34"/>
        </w:numPr>
      </w:pPr>
      <w:r>
        <w:t>SBK Platformunun teknik yönetimi, kullanıcı hesabı, panel erişimi, yayın ve yazılım işlemleri yetkili platform yönetimi tarafından yürütülür. Bu Yönerge teknik erişim yetkisini kendiliğinden devretmez.</w:t>
      </w:r>
    </w:p>
    <w:p w:rsidR="001A4670" w:rsidRDefault="00EF5986">
      <w:pPr>
        <w:pStyle w:val="Balk2"/>
      </w:pPr>
      <w:r>
        <w:t>MADDE 34 – SBK Sergi Yönergesinin Kapsamı</w:t>
      </w:r>
    </w:p>
    <w:p w:rsidR="001A4670" w:rsidRDefault="00EF5986">
      <w:pPr>
        <w:pStyle w:val="LegalClause"/>
        <w:numPr>
          <w:ilvl w:val="0"/>
          <w:numId w:val="35"/>
        </w:numPr>
      </w:pPr>
      <w:r>
        <w:t>SBK Sergi Yönergesi; kişisel sergileri, karma sergileri ve öğrenci sergilerini kapsar. Yarışma, seminer, söyleşi, panel ve benzeri faaliyetler SBK Sergi Yönergesinin sergi değerlendirme hükümleri kapsamında değildir.</w:t>
      </w:r>
    </w:p>
    <w:p w:rsidR="001A4670" w:rsidRDefault="00EF5986">
      <w:pPr>
        <w:pStyle w:val="LegalClause"/>
        <w:numPr>
          <w:ilvl w:val="0"/>
          <w:numId w:val="35"/>
        </w:numPr>
      </w:pPr>
      <w:r>
        <w:t>SBK Platformunda sergi dışı bir faaliyetin yayımlanması planlanıyorsa bu Yönergenin genel iç onay, kurumsal kimlik, telif, veri, takvim ve güvenlik hükümleri uygulanır; varsa ilgili özel düzenleme ayrıca gözetilir.</w:t>
      </w:r>
    </w:p>
    <w:p w:rsidR="001A4670" w:rsidRDefault="00EF5986">
      <w:pPr>
        <w:pStyle w:val="LegalClause"/>
        <w:numPr>
          <w:ilvl w:val="0"/>
          <w:numId w:val="35"/>
        </w:numPr>
      </w:pPr>
      <w:r>
        <w:t>Kişisel sergiler tek sanatçının eserlerinden ve kavramsal bütünlükten oluşur. Bir üye bir sergi takviminde en fazla iki kişisel sergi açabilir.</w:t>
      </w:r>
    </w:p>
    <w:p w:rsidR="001A4670" w:rsidRDefault="00EF5986">
      <w:pPr>
        <w:pStyle w:val="LegalClause"/>
        <w:numPr>
          <w:ilvl w:val="0"/>
          <w:numId w:val="35"/>
        </w:numPr>
      </w:pPr>
      <w:r>
        <w:t>Karma sergide küratör/sorumlu, katılımcı listesi ve kavramsal çerçeve; öğrenci sergisinde ders/atölye/proje bağlantısı, ders yürütücüsü veya danışman onayı ve tematik bütünlük bulunur. Bireysel öğrenci sergisi değerlendirmeye tabidir.</w:t>
      </w:r>
    </w:p>
    <w:p w:rsidR="001A4670" w:rsidRDefault="00EF5986">
      <w:pPr>
        <w:pStyle w:val="Balk2"/>
      </w:pPr>
      <w:r>
        <w:t>MADDE 35 – SBK Üyelik, Başvuru ve Ön İnceleme Belgeleri</w:t>
      </w:r>
    </w:p>
    <w:p w:rsidR="001A4670" w:rsidRDefault="00EF5986">
      <w:pPr>
        <w:pStyle w:val="LegalClause"/>
        <w:numPr>
          <w:ilvl w:val="0"/>
          <w:numId w:val="36"/>
        </w:numPr>
      </w:pPr>
      <w:r>
        <w:t>Başvuru sahibi SBK Platformunda üyelik oluşturur ve platformda istenen alanları eksiksiz doldurur.</w:t>
      </w:r>
    </w:p>
    <w:p w:rsidR="001A4670" w:rsidRDefault="00EF5986">
      <w:pPr>
        <w:pStyle w:val="LegalClause"/>
        <w:numPr>
          <w:ilvl w:val="0"/>
          <w:numId w:val="36"/>
        </w:numPr>
      </w:pPr>
      <w:r>
        <w:t>Başvuruda asgari olarak kurum/bölüm bilgisi, kısa özgeçmiş, sanatsal çalışma alanı, sergi açıklama metni, sanatçı özgeçmişi, eser görsellerinin sayfalar hâlinde bir PDF dosyası ve sergi afişi veya taslak afiş görseli bulunur.</w:t>
      </w:r>
    </w:p>
    <w:p w:rsidR="001A4670" w:rsidRDefault="00EF5986">
      <w:pPr>
        <w:pStyle w:val="LegalClause"/>
        <w:numPr>
          <w:ilvl w:val="0"/>
          <w:numId w:val="36"/>
        </w:numPr>
      </w:pPr>
      <w:r>
        <w:t>Karma sergide küratör/sorumlu ve katılımcı listesi; öğrenci sergisinde ders yürütücüsü/danışman onayı; gerekli hâllerde telif, kişisel veri ve temsil izinleri dosyaya eklenir.</w:t>
      </w:r>
    </w:p>
    <w:p w:rsidR="001A4670" w:rsidRDefault="00EF5986">
      <w:pPr>
        <w:pStyle w:val="LegalClause"/>
        <w:numPr>
          <w:ilvl w:val="0"/>
          <w:numId w:val="36"/>
        </w:numPr>
      </w:pPr>
      <w:r>
        <w:t>Platforma yüklenen başvuru teknik ve içerik bakımından ön incelemeye tabi tutulur. Eksik belge bulunan dosya sanatsal değerlendirmeye alınmaz; başvuru sahibine eksiklik bildirilir.</w:t>
      </w:r>
    </w:p>
    <w:p w:rsidR="001A4670" w:rsidRDefault="00EF5986">
      <w:pPr>
        <w:pStyle w:val="Balk2"/>
      </w:pPr>
      <w:r>
        <w:t>MADDE 36 – SBK Sergi Değerlendirme Komisyonu ve Karar</w:t>
      </w:r>
    </w:p>
    <w:p w:rsidR="001A4670" w:rsidRDefault="00EF5986">
      <w:pPr>
        <w:pStyle w:val="LegalClause"/>
        <w:numPr>
          <w:ilvl w:val="0"/>
          <w:numId w:val="37"/>
        </w:numPr>
      </w:pPr>
      <w:r>
        <w:t>SBK Sergi Değerlendirme Komisyonu; Fakültenin farklı bölümlerinden, eğitim/sanat/tasarım alanında lisans ve lisansüstü eğitim görmüş; sanatsal üretim, akademik deneyim ve alan uzmanlığı dikkate alınarak Fakülte yönetimince belirlenen beş öğretim elemanından oluşur. Görev süresi iki yıldır ve yeniden görevlendirme yapılabilir.</w:t>
      </w:r>
    </w:p>
    <w:p w:rsidR="001A4670" w:rsidRDefault="00EF5986">
      <w:pPr>
        <w:pStyle w:val="LegalClause"/>
        <w:numPr>
          <w:ilvl w:val="0"/>
          <w:numId w:val="37"/>
        </w:numPr>
      </w:pPr>
      <w:r>
        <w:lastRenderedPageBreak/>
        <w:t>Başvurular; sanatsal özgünlük, kavramsal bütünlük, teknik yeterlilik, toplumsal değerlere saygı, ayrımcılık/nefret söylemi/şiddeti teşvik etmeme ve platformun akademik-sanatsal niteliğine uygunluk ölçütleriyle incelenir.</w:t>
      </w:r>
    </w:p>
    <w:p w:rsidR="001A4670" w:rsidRDefault="00EF5986">
      <w:pPr>
        <w:pStyle w:val="LegalClause"/>
        <w:numPr>
          <w:ilvl w:val="0"/>
          <w:numId w:val="37"/>
        </w:numPr>
      </w:pPr>
      <w:r>
        <w:t>Kabul veya ret kararı gerekçeli yazılır. SBK Sergi Yönergesi uyarınca kabul ya da ret için en az beşte dört oy çoğunluğu aranır. Gerekli hâllerde ek bilgi, eser seçimi, sergi metni veya teknik düzenleme istenebilir.</w:t>
      </w:r>
    </w:p>
    <w:p w:rsidR="001A4670" w:rsidRDefault="00EF5986">
      <w:pPr>
        <w:pStyle w:val="LegalClause"/>
        <w:numPr>
          <w:ilvl w:val="0"/>
          <w:numId w:val="37"/>
        </w:numPr>
      </w:pPr>
      <w:r>
        <w:t>Sonuç başvuru sahibine sistem veya kayıtlı iletişim kanalı üzerinden 'Onaylandı', 'Reddedildi' veya düzenleme talebi biçiminde bildirilir.</w:t>
      </w:r>
    </w:p>
    <w:p w:rsidR="001A4670" w:rsidRDefault="00EF5986">
      <w:pPr>
        <w:pStyle w:val="Balk2"/>
      </w:pPr>
      <w:r>
        <w:t>MADDE 37 – Küratöryel İlkeler, Kota ve Öncelik</w:t>
      </w:r>
    </w:p>
    <w:p w:rsidR="001A4670" w:rsidRDefault="00EF5986">
      <w:pPr>
        <w:pStyle w:val="LegalClause"/>
        <w:numPr>
          <w:ilvl w:val="0"/>
          <w:numId w:val="38"/>
        </w:numPr>
      </w:pPr>
      <w:r>
        <w:t>SBK sergilerinde kavramsal/tematik bütünlük, sanatsal özgünlük, estetik bütünlük, teknik yeterlilik, eserler arası ilişki, görsel çözünürlük ve dijital sunum kalitesi gözetilir.</w:t>
      </w:r>
    </w:p>
    <w:p w:rsidR="001A4670" w:rsidRDefault="00EF5986">
      <w:pPr>
        <w:pStyle w:val="LegalClause"/>
        <w:numPr>
          <w:ilvl w:val="0"/>
          <w:numId w:val="38"/>
        </w:numPr>
      </w:pPr>
      <w:r>
        <w:t>SBK Sergi Değerlendirme Komisyonu, serginin bütünlüğünü güçlendirmek amacıyla eser sayısı, eser seçimi, sergi metni, afiş veya dijital sunum üzerinde gerekçeli düzenleme isteyebilir.</w:t>
      </w:r>
    </w:p>
    <w:p w:rsidR="001A4670" w:rsidRDefault="00EF5986">
      <w:pPr>
        <w:pStyle w:val="LegalClause"/>
        <w:numPr>
          <w:ilvl w:val="0"/>
          <w:numId w:val="38"/>
        </w:numPr>
      </w:pPr>
      <w:r>
        <w:t>Platform kapasitesi ve nitelik dengesini korumak amacıyla aynı dönemde yayımlanacak sergi sayısı sınırlandırılabilir; başvuru yoğunluğunda gerekçeli önceliklendirme yapılır. Fakülte içi/dışı başvurular arasında denge, öğrenci sergileri için dönemsel kontenjan ve lisansüstü/sanatta yeterlik çalışmalarının niteliği gözetilir.</w:t>
      </w:r>
    </w:p>
    <w:p w:rsidR="001A4670" w:rsidRDefault="00EF5986">
      <w:pPr>
        <w:pStyle w:val="LegalClause"/>
        <w:numPr>
          <w:ilvl w:val="0"/>
          <w:numId w:val="38"/>
        </w:numPr>
      </w:pPr>
      <w:r>
        <w:t>Kota ve öncelik ölçütleri, fırsat eşitliğini zedelemeyecek biçimde dönem başında veya başvuru çağrısında ilan edilir.</w:t>
      </w:r>
    </w:p>
    <w:p w:rsidR="001A4670" w:rsidRDefault="00EF5986">
      <w:pPr>
        <w:pStyle w:val="Balk2"/>
      </w:pPr>
      <w:r>
        <w:t>MADDE 38 – SBK Yayın, Sergi Süresi, Telif ve Arşiv</w:t>
      </w:r>
    </w:p>
    <w:p w:rsidR="001A4670" w:rsidRDefault="00EF5986">
      <w:pPr>
        <w:pStyle w:val="LegalClause"/>
        <w:numPr>
          <w:ilvl w:val="0"/>
          <w:numId w:val="39"/>
        </w:numPr>
      </w:pPr>
      <w:r>
        <w:t>Onaylanan sergi, SBK yayın takvimi ve teknik kapasite doğrultusunda yayımlanır. Yayın başlangıç/bitiş tarihi, görünürlük, bağlantı, erişilebilirlik ve arşiv durumu başvuru sahibine bildirilir.</w:t>
      </w:r>
    </w:p>
    <w:p w:rsidR="001A4670" w:rsidRDefault="00EF5986">
      <w:pPr>
        <w:pStyle w:val="LegalClause"/>
        <w:numPr>
          <w:ilvl w:val="0"/>
          <w:numId w:val="39"/>
        </w:numPr>
      </w:pPr>
      <w:r>
        <w:t>Yüklenen eserlerin telif ve yasal sorumluluğu başvuru sahibine aittir. Başvuru sahibi eserler üzerinde gerekli hak ve izinlere sahip olduğunu; üçüncü kişi hakkını ihlal etmediğini beyan eder.</w:t>
      </w:r>
    </w:p>
    <w:p w:rsidR="001A4670" w:rsidRDefault="00EF5986">
      <w:pPr>
        <w:pStyle w:val="LegalClause"/>
        <w:numPr>
          <w:ilvl w:val="0"/>
          <w:numId w:val="39"/>
        </w:numPr>
      </w:pPr>
      <w:r>
        <w:t>Sergi yayından kaldırılsa dahi başvuru, karar, izin, afiş, katalog, yayın ekranı ve istatistikler kurumsal hafıza amacıyla yetkili arşivde saklanabilir. Kamuya açık arşiv kullanımı telif ve kişisel veri izinleriyle sınırlıdır.</w:t>
      </w:r>
    </w:p>
    <w:p w:rsidR="001A4670" w:rsidRDefault="00EF5986">
      <w:pPr>
        <w:pStyle w:val="LegalClause"/>
        <w:numPr>
          <w:ilvl w:val="0"/>
          <w:numId w:val="39"/>
        </w:numPr>
      </w:pPr>
      <w:r>
        <w:t>SBK teknik sorunları, yetkisiz erişim, hak ihlali bildirimi veya güvenlik riski hâlinde içerik geçici olarak erişime kapatılabilir; durum Başkan, platform yönetimi ve Dekanlığa bildirilir.</w:t>
      </w:r>
    </w:p>
    <w:p w:rsidR="001A4670" w:rsidRDefault="00EF5986">
      <w:pPr>
        <w:pStyle w:val="Balk1"/>
        <w:pBdr>
          <w:bottom w:val="single" w:sz="7" w:space="2" w:color="A67C36"/>
        </w:pBdr>
      </w:pPr>
      <w:r>
        <w:t>YEDİNCİ BÖLÜM - Çalışma Usulleri, Kayıt, Raporlama ve PUKÖ</w:t>
      </w:r>
    </w:p>
    <w:p w:rsidR="001A4670" w:rsidRDefault="00EF5986">
      <w:pPr>
        <w:pStyle w:val="Balk2"/>
      </w:pPr>
      <w:r>
        <w:t>MADDE 39 – Toplantılar ve Karar Yeter Sayısı</w:t>
      </w:r>
    </w:p>
    <w:p w:rsidR="001A4670" w:rsidRDefault="00EF5986">
      <w:pPr>
        <w:pStyle w:val="LegalClause"/>
        <w:numPr>
          <w:ilvl w:val="0"/>
          <w:numId w:val="40"/>
        </w:numPr>
      </w:pPr>
      <w:r>
        <w:t>Komisyon olağan olarak ayda en az bir kez; ihtiyaç hâlinde Başkanın çağrısıyla olağanüstü toplanır. Toplantı yüz yüze, çevrim içi veya hibrit yapılabilir.</w:t>
      </w:r>
    </w:p>
    <w:p w:rsidR="001A4670" w:rsidRDefault="00EF5986">
      <w:pPr>
        <w:pStyle w:val="LegalClause"/>
        <w:numPr>
          <w:ilvl w:val="0"/>
          <w:numId w:val="40"/>
        </w:numPr>
      </w:pPr>
      <w:r>
        <w:t>Toplantı yeter sayısı üye tam sayısının salt çoğunluğudur. Kararlar toplantıya katılanların salt çoğunluğuyla alınır; eşitlik hâlinde Başkanın oyu yönünde karar oluşur. SBK Sergi Değerlendirme Komisyonunun beşte dört çoğunluk kuralı saklıdır.</w:t>
      </w:r>
    </w:p>
    <w:p w:rsidR="001A4670" w:rsidRDefault="00EF5986">
      <w:pPr>
        <w:pStyle w:val="LegalClause"/>
        <w:numPr>
          <w:ilvl w:val="0"/>
          <w:numId w:val="40"/>
        </w:numPr>
      </w:pPr>
      <w:r>
        <w:t>Elektronik görüş ve imza yöntemi kullanılabilir. Gizli oylama ancak kişisel değerlendirme, yarışma veya çıkar çatışması gibi gerekçeli hâllerde uygulanır.</w:t>
      </w:r>
    </w:p>
    <w:p w:rsidR="001A4670" w:rsidRDefault="00EF5986">
      <w:pPr>
        <w:pStyle w:val="Balk2"/>
      </w:pPr>
      <w:r>
        <w:lastRenderedPageBreak/>
        <w:t>MADDE 40 – Gündem, Karar, Kayıt ve Arşiv</w:t>
      </w:r>
    </w:p>
    <w:p w:rsidR="001A4670" w:rsidRDefault="00EF5986">
      <w:pPr>
        <w:pStyle w:val="LegalClause"/>
        <w:numPr>
          <w:ilvl w:val="0"/>
          <w:numId w:val="41"/>
        </w:numPr>
      </w:pPr>
      <w:r>
        <w:t>Gündem ve belgeler olağan toplantıdan en az iki iş günü önce üyelere iletilir. Acil gündem, gerekçesi tutanağa yazılarak görüşülebilir.</w:t>
      </w:r>
    </w:p>
    <w:p w:rsidR="001A4670" w:rsidRDefault="00EF5986">
      <w:pPr>
        <w:pStyle w:val="LegalClause"/>
        <w:numPr>
          <w:ilvl w:val="0"/>
          <w:numId w:val="41"/>
        </w:numPr>
      </w:pPr>
      <w:r>
        <w:t>Her karar; sıra numarası, tarih, başvuru sahibi/birim, faaliyet adı, değerlendirme, varsa karşı oy, koşullar, sorumlu, süre ve gerekli makam onaylarını içerir. Karşı oy gerekçesi karar ekinde gösterilir.</w:t>
      </w:r>
    </w:p>
    <w:p w:rsidR="001A4670" w:rsidRDefault="00EF5986">
      <w:pPr>
        <w:pStyle w:val="LegalClause"/>
        <w:numPr>
          <w:ilvl w:val="0"/>
          <w:numId w:val="41"/>
        </w:numPr>
      </w:pPr>
      <w:r>
        <w:t>Başvuru, değerlendirme, karar, izin, protokol, bütçe, afiş, program, katılımcı ve görev listesi, görsel-işitsel kanıt, geri bildirim, basın/yayın kaydı, olay/uygunsuzluk kaydı ve sonuç raporu faaliyet sicilinde tutulur.</w:t>
      </w:r>
    </w:p>
    <w:p w:rsidR="001A4670" w:rsidRDefault="00EF5986">
      <w:pPr>
        <w:pStyle w:val="LegalClause"/>
        <w:numPr>
          <w:ilvl w:val="0"/>
          <w:numId w:val="41"/>
        </w:numPr>
      </w:pPr>
      <w:r>
        <w:t>Kayıtlara erişim görev ve yetkiyle sınırlandırılır. Saklama süresi ilgili mevzuat, kurum arşiv planı, telif ve kişisel veri yükümlülüklerine göre belirlenir; süre dolduğunda güvenli imha uygulanır.</w:t>
      </w:r>
    </w:p>
    <w:p w:rsidR="001A4670" w:rsidRDefault="00EF5986">
      <w:pPr>
        <w:pStyle w:val="Balk2"/>
      </w:pPr>
      <w:r>
        <w:t>MADDE 41 – Faaliyet Sonu Raporu ve Kanıt</w:t>
      </w:r>
    </w:p>
    <w:p w:rsidR="001A4670" w:rsidRDefault="00EF5986">
      <w:pPr>
        <w:pStyle w:val="LegalClause"/>
        <w:numPr>
          <w:ilvl w:val="0"/>
          <w:numId w:val="42"/>
        </w:numPr>
      </w:pPr>
      <w:r>
        <w:t>Faaliyet sorumlusu, faaliyet bitiminden sonra en geç on iş günü içinde EK-5 faaliyet sonu raporunu ve kanıtlarını birim temsilcisi aracılığıyla Komisyona sunar.</w:t>
      </w:r>
    </w:p>
    <w:p w:rsidR="001A4670" w:rsidRDefault="00EF5986">
      <w:pPr>
        <w:pStyle w:val="LegalClause"/>
        <w:numPr>
          <w:ilvl w:val="0"/>
          <w:numId w:val="42"/>
        </w:numPr>
      </w:pPr>
      <w:r>
        <w:t>Raporda gerçekleşen tarih/mekân, program, katılımcı ve hedef kitle, öğrenci katkısı, bütçe/ayni kaynak, erişilebilirlik, görünürlük, geri bildirim, çıktı, etki, risk/olay, sapma, öğrenilen ders ve iyileştirme önerisi yer alır.</w:t>
      </w:r>
    </w:p>
    <w:p w:rsidR="001A4670" w:rsidRDefault="00EF5986">
      <w:pPr>
        <w:pStyle w:val="LegalClause"/>
        <w:numPr>
          <w:ilvl w:val="0"/>
          <w:numId w:val="42"/>
        </w:numPr>
      </w:pPr>
      <w:r>
        <w:t>Bir faaliyetin gerçekleştirilmiş sayılması için yalnızca iç onay veya duyuru yeterli değildir; uygulamanın tamamlandığını ve sonucunun izlendiğini gösteren uygun kanıt bulunmalıdır.</w:t>
      </w:r>
    </w:p>
    <w:p w:rsidR="001A4670" w:rsidRDefault="00EF5986">
      <w:pPr>
        <w:pStyle w:val="Balk2"/>
      </w:pPr>
      <w:r>
        <w:t>MADDE 42 – Dönem ve Yıl Sonu Raporlama, Göstergeler ve PUKÖ</w:t>
      </w:r>
    </w:p>
    <w:p w:rsidR="001A4670" w:rsidRDefault="00EF5986">
      <w:pPr>
        <w:pStyle w:val="LegalClause"/>
        <w:numPr>
          <w:ilvl w:val="0"/>
          <w:numId w:val="43"/>
        </w:numPr>
      </w:pPr>
      <w:r>
        <w:t>Komisyon her yarıyıl sonunda kısa izleme raporu, her akademik yıl sonunda Sanatsal ve Kültürel Faaliyetler Değerlendirme ve İyileştirme Raporu hazırlar.</w:t>
      </w:r>
    </w:p>
    <w:p w:rsidR="001A4670" w:rsidRDefault="00EF5986">
      <w:pPr>
        <w:pStyle w:val="LegalClause"/>
        <w:numPr>
          <w:ilvl w:val="0"/>
          <w:numId w:val="43"/>
        </w:numPr>
      </w:pPr>
      <w:r>
        <w:t>Yıllık raporda faaliyet sayısı yanında bölüm/alan dağılımı, öğrenci/mezun/dış paydaş katılımı, yerel-ulusal-uluslararası ölçek, fiziksel/dijital erişim, SBK başvuru-kabul-red/yayın verileri, sınav çakışması ve erteleme, erişilebilirlik, bütçe/ayni kaynak, memnuniyet, medya görünürlüğü, tekrar eden ortaklık, toplumsal etki ve kanıt tamlığı değerlendirilir.</w:t>
      </w:r>
    </w:p>
    <w:p w:rsidR="001A4670" w:rsidRDefault="00EF5986">
      <w:pPr>
        <w:pStyle w:val="LegalClause"/>
        <w:numPr>
          <w:ilvl w:val="0"/>
          <w:numId w:val="43"/>
        </w:numPr>
      </w:pPr>
      <w:r>
        <w:t>Komisyon; Planla-Uygula-Kontrol Et-Önlem Al döngüsü kapsamında hedefleri sonuçlarla karşılaştırır; kök neden, sorumlu, süre, kaynak ve başarı göstergesi tanımlı iyileştirme kararlarını Dekanlığa sunar ve sonraki yıl takvimine işler.</w:t>
      </w:r>
    </w:p>
    <w:p w:rsidR="001A4670" w:rsidRDefault="00EF5986">
      <w:pPr>
        <w:pStyle w:val="Balk2"/>
      </w:pPr>
      <w:r>
        <w:t>MADDE 43 – Kurum İçi Eşgüdüm ve Rehberlerin Güncellenmesi</w:t>
      </w:r>
    </w:p>
    <w:p w:rsidR="001A4670" w:rsidRDefault="00EF5986">
      <w:pPr>
        <w:pStyle w:val="LegalClause"/>
        <w:numPr>
          <w:ilvl w:val="0"/>
          <w:numId w:val="44"/>
        </w:numPr>
      </w:pPr>
      <w:r>
        <w:t>Komisyon; Fakülte Kalite Kurulu, Birim Eğitim Komisyonu, Ölçme ve Değerlendirme Komisyonu, Ders ve Sınav Programları ile Eğitim Alanları Komisyonu, Bilimsel Araştırmalar-AR-GE ve Proje Komisyonu, bölüm başkanlıkları, Öğrenci İşleri, Fakülte Sekreterliği, kurumsal iletişim ve diğer ilgili yapılarla görev sınırları içinde eşgüdüm kurar.</w:t>
      </w:r>
    </w:p>
    <w:p w:rsidR="001A4670" w:rsidRDefault="00EF5986">
      <w:pPr>
        <w:pStyle w:val="LegalClause"/>
        <w:numPr>
          <w:ilvl w:val="0"/>
          <w:numId w:val="44"/>
        </w:numPr>
      </w:pPr>
      <w:r>
        <w:t>Sınav takvimi, mekân tahsisi, öğrenci yükü veya eğitim alanı bakımından tereddüt bulunan dosyalarda ilgili Komisyonun yazılı görüşü alınır. Görüşler karar yetkisinin devri anlamına gelmez.</w:t>
      </w:r>
    </w:p>
    <w:p w:rsidR="001A4670" w:rsidRDefault="00EF5986">
      <w:pPr>
        <w:pStyle w:val="LegalClause"/>
        <w:numPr>
          <w:ilvl w:val="0"/>
          <w:numId w:val="44"/>
        </w:numPr>
      </w:pPr>
      <w:r>
        <w:t>Ek formlar, teknik standartlar, teslim biçimleri, erişilebilirlik kontrol listeleri ve duyuru şablonları; mevzuat ve uygulama ihtiyaçlarına göre Komisyon önerisi ve Dekanlık onayıyla güncellenebilir. Güncelleme Yönergenin temel hükümlerini değiştiremez.</w:t>
      </w:r>
    </w:p>
    <w:p w:rsidR="001A4670" w:rsidRDefault="00EF5986">
      <w:pPr>
        <w:pStyle w:val="Balk1"/>
        <w:pBdr>
          <w:bottom w:val="single" w:sz="7" w:space="2" w:color="A67C36"/>
        </w:pBdr>
      </w:pPr>
      <w:r>
        <w:lastRenderedPageBreak/>
        <w:t>SEKİZİNCİ BÖLÜM - Çeşitli ve Son Hükümler</w:t>
      </w:r>
    </w:p>
    <w:p w:rsidR="001A4670" w:rsidRDefault="00EF5986">
      <w:pPr>
        <w:pStyle w:val="Balk2"/>
      </w:pPr>
      <w:r>
        <w:t>MADDE 44 – Komisyonun Yetki Sınırı</w:t>
      </w:r>
    </w:p>
    <w:p w:rsidR="001A4670" w:rsidRDefault="00EF5986">
      <w:pPr>
        <w:pStyle w:val="LegalClause"/>
        <w:numPr>
          <w:ilvl w:val="0"/>
          <w:numId w:val="45"/>
        </w:numPr>
      </w:pPr>
      <w:r>
        <w:t>Komisyon; Fakülte Kurulu, Fakülte Yönetim Kurulu, Dekan, Rektörlük, Senato, harcama yetkilisi, etik kurul, jüri/seçici kurul, SBK Sergi Değerlendirme Komisyonu ve diğer yetkili organların yerine geçemez.</w:t>
      </w:r>
    </w:p>
    <w:p w:rsidR="001A4670" w:rsidRDefault="00EF5986">
      <w:pPr>
        <w:pStyle w:val="LegalClause"/>
        <w:numPr>
          <w:ilvl w:val="0"/>
          <w:numId w:val="45"/>
        </w:numPr>
      </w:pPr>
      <w:r>
        <w:t>Komisyon kararı; akademik not, sınav sonucu, jüri kararı, personel işlemi, mali taahhüt, sözleşme, protokol, satın alma, sponsorluk kabulü veya mekân tahsisi bakımından kendiliğinden icrai sonuç doğurmaz.</w:t>
      </w:r>
    </w:p>
    <w:p w:rsidR="001A4670" w:rsidRDefault="00EF5986">
      <w:pPr>
        <w:pStyle w:val="Balk2"/>
      </w:pPr>
      <w:r>
        <w:t>MADDE 45 – Hüküm Bulunmayan Hâller</w:t>
      </w:r>
    </w:p>
    <w:p w:rsidR="001A4670" w:rsidRDefault="00EF5986">
      <w:pPr>
        <w:pStyle w:val="LegalClause"/>
        <w:numPr>
          <w:ilvl w:val="0"/>
          <w:numId w:val="46"/>
        </w:numPr>
      </w:pPr>
      <w:r>
        <w:t>Bu Yönergede hüküm bulunmayan hâllerde ilgili yükseköğretim ve Üniversite mevzuatı, SBK Sergi Yönergesi, yetkili kurul/makam kararları ve genel hukuk ilkeleri uygulanır.</w:t>
      </w:r>
    </w:p>
    <w:p w:rsidR="001A4670" w:rsidRDefault="00EF5986">
      <w:pPr>
        <w:pStyle w:val="LegalClause"/>
        <w:numPr>
          <w:ilvl w:val="0"/>
          <w:numId w:val="46"/>
        </w:numPr>
      </w:pPr>
      <w:r>
        <w:t>Uygulama tereddütleri Başkanın gerekçeli görüşüyle Dekanlığa iletilir; gerekli hâllerde Hukuk Müşavirliği veya ilgili birim görüşü alınır.</w:t>
      </w:r>
    </w:p>
    <w:p w:rsidR="001A4670" w:rsidRDefault="00EF5986">
      <w:pPr>
        <w:pStyle w:val="Balk2"/>
      </w:pPr>
      <w:r>
        <w:t>MADDE 46 – Geçiş Hükmü</w:t>
      </w:r>
    </w:p>
    <w:p w:rsidR="001A4670" w:rsidRDefault="00EF5986">
      <w:pPr>
        <w:pStyle w:val="LegalClause"/>
        <w:numPr>
          <w:ilvl w:val="0"/>
          <w:numId w:val="47"/>
        </w:numPr>
      </w:pPr>
      <w:r>
        <w:t>Bu Yönergenin yürürlüğe girdiği tarihte planlanmış veya başlamış faaliyetler, kazanılmış hak ve mevcut taahhütler gözetilerek en geç altmış gün içinde kayıt, sorumlu, sınav çakışması, izin ve kanıt bakımından bu Yönergeyle uyumlu hâle getirilir.</w:t>
      </w:r>
    </w:p>
    <w:p w:rsidR="001A4670" w:rsidRDefault="00EF5986">
      <w:pPr>
        <w:pStyle w:val="LegalClause"/>
        <w:numPr>
          <w:ilvl w:val="0"/>
          <w:numId w:val="47"/>
        </w:numPr>
      </w:pPr>
      <w:r>
        <w:t>Mevcut SBK Sergi Değerlendirme Komisyonu görev süresi sonuna kadar devam eder; yeni görevlendirmeler SBK Sergi Yönergesine göre yapılır.</w:t>
      </w:r>
    </w:p>
    <w:p w:rsidR="001A4670" w:rsidRDefault="00EF5986">
      <w:pPr>
        <w:pStyle w:val="Balk2"/>
      </w:pPr>
      <w:r>
        <w:t>MADDE 47 – Yürürlük</w:t>
      </w:r>
    </w:p>
    <w:p w:rsidR="001A4670" w:rsidRDefault="00EF5986">
      <w:pPr>
        <w:pStyle w:val="LegalClause"/>
        <w:numPr>
          <w:ilvl w:val="0"/>
          <w:numId w:val="48"/>
        </w:numPr>
      </w:pPr>
      <w:r>
        <w:t>Bu Yönerge, Gaziantep Üniversitesi Güzel Sanatlar Fakültesi Fakülte Kurulunca kabul edildiği tarihte yürürlüğe girer.</w:t>
      </w:r>
    </w:p>
    <w:p w:rsidR="001A4670" w:rsidRDefault="00EF5986">
      <w:pPr>
        <w:pStyle w:val="Balk2"/>
      </w:pPr>
      <w:r>
        <w:t>MADDE 48 – Yürütme</w:t>
      </w:r>
    </w:p>
    <w:p w:rsidR="001A4670" w:rsidRDefault="00EF5986">
      <w:pPr>
        <w:pStyle w:val="LegalClause"/>
        <w:numPr>
          <w:ilvl w:val="0"/>
          <w:numId w:val="49"/>
        </w:numPr>
      </w:pPr>
      <w:r>
        <w:t>Bu Yönerge hükümlerini Gaziantep Üniversitesi Güzel Sanatlar Fakültesi Dekanı yürütür.</w:t>
      </w:r>
    </w:p>
    <w:p w:rsidR="001A4670" w:rsidRDefault="00EF5986">
      <w:r>
        <w:br w:type="page"/>
      </w:r>
    </w:p>
    <w:p w:rsidR="001A4670" w:rsidRDefault="00EF5986">
      <w:pPr>
        <w:pStyle w:val="Balk1"/>
        <w:pBdr>
          <w:bottom w:val="single" w:sz="7" w:space="2" w:color="A67C36"/>
        </w:pBdr>
      </w:pPr>
      <w:r>
        <w:lastRenderedPageBreak/>
        <w:t>EKLER - Başvuru, Değerlendirme, Takvim, SBK ve Raporlama Araçları</w:t>
      </w:r>
    </w:p>
    <w:p w:rsidR="001A4670" w:rsidRDefault="00EF5986">
      <w:pPr>
        <w:keepLines/>
        <w:shd w:val="clear" w:color="auto" w:fill="E8EEF5"/>
        <w:spacing w:before="120" w:after="160"/>
        <w:ind w:left="113" w:right="113"/>
        <w:jc w:val="left"/>
      </w:pPr>
      <w:r>
        <w:rPr>
          <w:rFonts w:eastAsia="Calibri" w:cs="Calibri"/>
          <w:b/>
          <w:color w:val="173A63"/>
          <w:sz w:val="20"/>
        </w:rPr>
        <w:t>KULLANIM NOTU</w:t>
      </w:r>
      <w:r>
        <w:rPr>
          <w:rFonts w:eastAsia="Calibri" w:cs="Calibri"/>
          <w:b/>
          <w:color w:val="173A63"/>
          <w:sz w:val="20"/>
        </w:rPr>
        <w:br/>
      </w:r>
      <w:r>
        <w:rPr>
          <w:rFonts w:eastAsia="Calibri" w:cs="Calibri"/>
          <w:sz w:val="19"/>
        </w:rPr>
        <w:t>Ekler uygulama standardıdır. Komisyon, temel yönerge hükümlerini değiştirmemek kaydıyla alanları genişletebilir; her formda sürüm, tarih, sorumlu ve karar numarası tutulur.</w:t>
      </w:r>
    </w:p>
    <w:p w:rsidR="001A4670" w:rsidRDefault="00EF5986">
      <w:pPr>
        <w:pStyle w:val="TableCaption"/>
      </w:pPr>
      <w:r>
        <w:t>EK-1 • Sanatsal ve Kültürel Faaliyet Öneri ve Koordinasyon Formu</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1700"/>
        <w:gridCol w:w="3150"/>
        <w:gridCol w:w="1700"/>
        <w:gridCol w:w="2930"/>
      </w:tblGrid>
      <w:tr w:rsidR="001A4670">
        <w:trPr>
          <w:tblHeader/>
        </w:trPr>
        <w:tc>
          <w:tcPr>
            <w:tcW w:w="17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Alan</w:t>
            </w:r>
          </w:p>
        </w:tc>
        <w:tc>
          <w:tcPr>
            <w:tcW w:w="315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Bilgi</w:t>
            </w:r>
          </w:p>
        </w:tc>
        <w:tc>
          <w:tcPr>
            <w:tcW w:w="17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Alan</w:t>
            </w:r>
          </w:p>
        </w:tc>
        <w:tc>
          <w:tcPr>
            <w:tcW w:w="293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Bilgi</w:t>
            </w:r>
          </w:p>
        </w:tc>
      </w:tr>
      <w:tr w:rsidR="001A4670">
        <w:trPr>
          <w:cantSplit/>
        </w:trPr>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Başvuru no / tarih</w:t>
            </w:r>
          </w:p>
        </w:tc>
        <w:tc>
          <w:tcPr>
            <w:tcW w:w="31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Başvuran birim</w:t>
            </w:r>
          </w:p>
        </w:tc>
        <w:tc>
          <w:tcPr>
            <w:tcW w:w="293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Faaliyet adı</w:t>
            </w:r>
          </w:p>
        </w:tc>
        <w:tc>
          <w:tcPr>
            <w:tcW w:w="31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Faaliyet sorumlusu</w:t>
            </w:r>
          </w:p>
        </w:tc>
        <w:tc>
          <w:tcPr>
            <w:tcW w:w="293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Tür / ölçek</w:t>
            </w:r>
          </w:p>
        </w:tc>
        <w:tc>
          <w:tcPr>
            <w:tcW w:w="31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Fiziksel / çevrim içi / hibrit; yerel / ulusal / uluslararası</w:t>
            </w:r>
          </w:p>
        </w:tc>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Ortak/paydaş</w:t>
            </w:r>
          </w:p>
        </w:tc>
        <w:tc>
          <w:tcPr>
            <w:tcW w:w="293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Tarih-saat</w:t>
            </w:r>
          </w:p>
        </w:tc>
        <w:tc>
          <w:tcPr>
            <w:tcW w:w="31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Kurulum-söküm</w:t>
            </w:r>
          </w:p>
        </w:tc>
        <w:tc>
          <w:tcPr>
            <w:tcW w:w="293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Mekân / platform</w:t>
            </w:r>
          </w:p>
        </w:tc>
        <w:tc>
          <w:tcPr>
            <w:tcW w:w="31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Hedef kitle / kapasite</w:t>
            </w:r>
          </w:p>
        </w:tc>
        <w:tc>
          <w:tcPr>
            <w:tcW w:w="293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Öğrenci rolü</w:t>
            </w:r>
          </w:p>
        </w:tc>
        <w:tc>
          <w:tcPr>
            <w:tcW w:w="31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Gönüllü / ders bağlantılı / icracı / ekip / izleyici</w:t>
            </w:r>
          </w:p>
        </w:tc>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Zorunluluk varsa dayanak</w:t>
            </w:r>
          </w:p>
        </w:tc>
        <w:tc>
          <w:tcPr>
            <w:tcW w:w="293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Sınav kontrolü</w:t>
            </w:r>
          </w:p>
        </w:tc>
        <w:tc>
          <w:tcPr>
            <w:tcW w:w="31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Çakışma yok / kısmi koruma / tam koruma / istisna talebi</w:t>
            </w:r>
          </w:p>
        </w:tc>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İlgili program görüşü</w:t>
            </w:r>
          </w:p>
        </w:tc>
        <w:tc>
          <w:tcPr>
            <w:tcW w:w="293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Bütçe / ayni kaynak</w:t>
            </w:r>
          </w:p>
        </w:tc>
        <w:tc>
          <w:tcPr>
            <w:tcW w:w="31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Teknik ihtiyaç</w:t>
            </w:r>
          </w:p>
        </w:tc>
        <w:tc>
          <w:tcPr>
            <w:tcW w:w="293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İzinler</w:t>
            </w:r>
          </w:p>
        </w:tc>
        <w:tc>
          <w:tcPr>
            <w:tcW w:w="31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Telif / KVKK / mekân / güvenlik / protokol / seyahat / diğer</w:t>
            </w:r>
          </w:p>
        </w:tc>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Kanıt planı</w:t>
            </w:r>
          </w:p>
        </w:tc>
        <w:tc>
          <w:tcPr>
            <w:tcW w:w="293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bl>
    <w:p w:rsidR="001A4670" w:rsidRDefault="001A4670">
      <w:pPr>
        <w:spacing w:after="20"/>
      </w:pPr>
    </w:p>
    <w:p w:rsidR="001A4670" w:rsidRDefault="00EF5986">
      <w:pPr>
        <w:pStyle w:val="LegalBullet"/>
        <w:numPr>
          <w:ilvl w:val="0"/>
          <w:numId w:val="1"/>
        </w:numPr>
      </w:pPr>
      <w:r>
        <w:t>Amaç, kavramsal çerçeve ve beklenen sanatsal/kültürel değer:</w:t>
      </w:r>
    </w:p>
    <w:p w:rsidR="001A4670" w:rsidRDefault="00EF5986">
      <w:pPr>
        <w:pStyle w:val="LegalBullet"/>
        <w:numPr>
          <w:ilvl w:val="0"/>
          <w:numId w:val="1"/>
        </w:numPr>
      </w:pPr>
      <w:r>
        <w:t>Program/akış, sanatçı-konuşmacı-katılımcı listesi ve görev dağılımı:</w:t>
      </w:r>
    </w:p>
    <w:p w:rsidR="001A4670" w:rsidRDefault="00EF5986">
      <w:pPr>
        <w:pStyle w:val="LegalBullet"/>
        <w:numPr>
          <w:ilvl w:val="0"/>
          <w:numId w:val="1"/>
        </w:numPr>
      </w:pPr>
      <w:r>
        <w:t>Risk, erişilebilirlik, sürdürülebilirlik ve iletişim planı:</w:t>
      </w:r>
    </w:p>
    <w:p w:rsidR="001A4670" w:rsidRDefault="00EF5986">
      <w:pPr>
        <w:pStyle w:val="LegalBullet"/>
        <w:numPr>
          <w:ilvl w:val="0"/>
          <w:numId w:val="1"/>
        </w:numPr>
      </w:pPr>
      <w:r>
        <w:t>Beklenen çıktı, etki, gösterge ve toplanacak kanıtlar:</w:t>
      </w:r>
    </w:p>
    <w:p w:rsidR="001A4670" w:rsidRDefault="00EF5986">
      <w:r>
        <w:br w:type="page"/>
      </w:r>
    </w:p>
    <w:p w:rsidR="001A4670" w:rsidRDefault="00EF5986">
      <w:pPr>
        <w:pStyle w:val="TableCaption"/>
      </w:pPr>
      <w:r>
        <w:lastRenderedPageBreak/>
        <w:t>EK-2 • Değerlendirme, Görüş ve İç Onay Formu</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700"/>
        <w:gridCol w:w="6500"/>
        <w:gridCol w:w="1140"/>
        <w:gridCol w:w="1140"/>
      </w:tblGrid>
      <w:tr w:rsidR="001A4670">
        <w:trPr>
          <w:tblHeader/>
        </w:trPr>
        <w:tc>
          <w:tcPr>
            <w:tcW w:w="7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No</w:t>
            </w:r>
          </w:p>
        </w:tc>
        <w:tc>
          <w:tcPr>
            <w:tcW w:w="65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Ölçüt</w:t>
            </w:r>
          </w:p>
        </w:tc>
        <w:tc>
          <w:tcPr>
            <w:tcW w:w="114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Azami</w:t>
            </w:r>
          </w:p>
        </w:tc>
        <w:tc>
          <w:tcPr>
            <w:tcW w:w="114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Verilen</w:t>
            </w:r>
          </w:p>
        </w:tc>
      </w:tr>
      <w:tr w:rsidR="001A4670">
        <w:trPr>
          <w:cantSplit/>
        </w:trPr>
        <w:tc>
          <w:tcPr>
            <w:tcW w:w="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1</w:t>
            </w:r>
          </w:p>
        </w:tc>
        <w:tc>
          <w:tcPr>
            <w:tcW w:w="6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Sanatsal/kültürel nitelik ve özgün değer</w:t>
            </w:r>
          </w:p>
        </w:tc>
        <w:tc>
          <w:tcPr>
            <w:tcW w:w="114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25</w:t>
            </w:r>
          </w:p>
        </w:tc>
        <w:tc>
          <w:tcPr>
            <w:tcW w:w="114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w:t>
            </w:r>
          </w:p>
        </w:tc>
      </w:tr>
      <w:tr w:rsidR="001A4670">
        <w:trPr>
          <w:cantSplit/>
        </w:trPr>
        <w:tc>
          <w:tcPr>
            <w:tcW w:w="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2</w:t>
            </w:r>
          </w:p>
        </w:tc>
        <w:tc>
          <w:tcPr>
            <w:tcW w:w="65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Eğitim-öğretim ve sınav takvimi uyumu</w:t>
            </w:r>
          </w:p>
        </w:tc>
        <w:tc>
          <w:tcPr>
            <w:tcW w:w="114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20</w:t>
            </w:r>
          </w:p>
        </w:tc>
        <w:tc>
          <w:tcPr>
            <w:tcW w:w="114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w:t>
            </w:r>
          </w:p>
        </w:tc>
      </w:tr>
      <w:tr w:rsidR="001A4670">
        <w:trPr>
          <w:cantSplit/>
        </w:trPr>
        <w:tc>
          <w:tcPr>
            <w:tcW w:w="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3</w:t>
            </w:r>
          </w:p>
        </w:tc>
        <w:tc>
          <w:tcPr>
            <w:tcW w:w="6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Uygulanabilirlik ve kaynak yeterliği</w:t>
            </w:r>
          </w:p>
        </w:tc>
        <w:tc>
          <w:tcPr>
            <w:tcW w:w="114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15</w:t>
            </w:r>
          </w:p>
        </w:tc>
        <w:tc>
          <w:tcPr>
            <w:tcW w:w="114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w:t>
            </w:r>
          </w:p>
        </w:tc>
      </w:tr>
      <w:tr w:rsidR="001A4670">
        <w:trPr>
          <w:cantSplit/>
        </w:trPr>
        <w:tc>
          <w:tcPr>
            <w:tcW w:w="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4</w:t>
            </w:r>
          </w:p>
        </w:tc>
        <w:tc>
          <w:tcPr>
            <w:tcW w:w="65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Katılım, erişilebilirlik ve toplumsal etki</w:t>
            </w:r>
          </w:p>
        </w:tc>
        <w:tc>
          <w:tcPr>
            <w:tcW w:w="114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15</w:t>
            </w:r>
          </w:p>
        </w:tc>
        <w:tc>
          <w:tcPr>
            <w:tcW w:w="114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w:t>
            </w:r>
          </w:p>
        </w:tc>
      </w:tr>
      <w:tr w:rsidR="001A4670">
        <w:trPr>
          <w:cantSplit/>
        </w:trPr>
        <w:tc>
          <w:tcPr>
            <w:tcW w:w="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5</w:t>
            </w:r>
          </w:p>
        </w:tc>
        <w:tc>
          <w:tcPr>
            <w:tcW w:w="6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Etik, hukuk, güvenlik ve haklar</w:t>
            </w:r>
          </w:p>
        </w:tc>
        <w:tc>
          <w:tcPr>
            <w:tcW w:w="114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10</w:t>
            </w:r>
          </w:p>
        </w:tc>
        <w:tc>
          <w:tcPr>
            <w:tcW w:w="114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w:t>
            </w:r>
          </w:p>
        </w:tc>
      </w:tr>
      <w:tr w:rsidR="001A4670">
        <w:trPr>
          <w:cantSplit/>
        </w:trPr>
        <w:tc>
          <w:tcPr>
            <w:tcW w:w="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6</w:t>
            </w:r>
          </w:p>
        </w:tc>
        <w:tc>
          <w:tcPr>
            <w:tcW w:w="65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Kurumsal kimlik, iletişim ve SBK uyumu</w:t>
            </w:r>
          </w:p>
        </w:tc>
        <w:tc>
          <w:tcPr>
            <w:tcW w:w="114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10</w:t>
            </w:r>
          </w:p>
        </w:tc>
        <w:tc>
          <w:tcPr>
            <w:tcW w:w="114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w:t>
            </w:r>
          </w:p>
        </w:tc>
      </w:tr>
      <w:tr w:rsidR="001A4670">
        <w:trPr>
          <w:cantSplit/>
        </w:trPr>
        <w:tc>
          <w:tcPr>
            <w:tcW w:w="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7"/>
              </w:rPr>
              <w:t>7</w:t>
            </w:r>
          </w:p>
        </w:tc>
        <w:tc>
          <w:tcPr>
            <w:tcW w:w="6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Sürdürülebilirlik ve kurumsal hafıza</w:t>
            </w:r>
          </w:p>
        </w:tc>
        <w:tc>
          <w:tcPr>
            <w:tcW w:w="114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5</w:t>
            </w:r>
          </w:p>
        </w:tc>
        <w:tc>
          <w:tcPr>
            <w:tcW w:w="114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7"/>
              </w:rPr>
              <w:t>……</w:t>
            </w:r>
          </w:p>
        </w:tc>
      </w:tr>
    </w:tbl>
    <w:p w:rsidR="001A4670" w:rsidRDefault="001A4670">
      <w:pPr>
        <w:spacing w:after="20"/>
      </w:pP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1400"/>
        <w:gridCol w:w="3000"/>
        <w:gridCol w:w="5080"/>
      </w:tblGrid>
      <w:tr w:rsidR="001A4670">
        <w:trPr>
          <w:tblHeader/>
        </w:trPr>
        <w:tc>
          <w:tcPr>
            <w:tcW w:w="14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Toplam</w:t>
            </w:r>
          </w:p>
        </w:tc>
        <w:tc>
          <w:tcPr>
            <w:tcW w:w="30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Karar</w:t>
            </w:r>
          </w:p>
        </w:tc>
        <w:tc>
          <w:tcPr>
            <w:tcW w:w="50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Koşul / gerekçe</w:t>
            </w:r>
          </w:p>
        </w:tc>
      </w:tr>
      <w:tr w:rsidR="001A4670">
        <w:trPr>
          <w:cantSplit/>
        </w:trPr>
        <w:tc>
          <w:tcPr>
            <w:tcW w:w="14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 / 100</w:t>
            </w:r>
          </w:p>
        </w:tc>
        <w:tc>
          <w:tcPr>
            <w:tcW w:w="3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Uygun / Koşullu / Revizyon / Uygun değil</w:t>
            </w:r>
          </w:p>
        </w:tc>
        <w:tc>
          <w:tcPr>
            <w:tcW w:w="50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bl>
    <w:p w:rsidR="001A4670" w:rsidRDefault="001A4670">
      <w:pPr>
        <w:spacing w:after="20"/>
      </w:pPr>
    </w:p>
    <w:p w:rsidR="001A4670" w:rsidRDefault="00EF5986">
      <w:pPr>
        <w:pStyle w:val="LegalBullet"/>
        <w:numPr>
          <w:ilvl w:val="0"/>
          <w:numId w:val="1"/>
        </w:numPr>
      </w:pPr>
      <w:r>
        <w:t>Kritik uygunluk kontrolü: sınav güvenliği, etik, hukuk, KVKK, telif, güvenlik, bütçe/taahhüt ve yetki.</w:t>
      </w:r>
    </w:p>
    <w:p w:rsidR="001A4670" w:rsidRDefault="00EF5986">
      <w:pPr>
        <w:pStyle w:val="LegalBullet"/>
        <w:numPr>
          <w:ilvl w:val="0"/>
          <w:numId w:val="1"/>
        </w:numPr>
      </w:pPr>
      <w:r>
        <w:t>Gerekli diğer makam/kurul izinleri ve tamamlanma tarihleri.</w:t>
      </w:r>
    </w:p>
    <w:p w:rsidR="001A4670" w:rsidRDefault="00EF5986">
      <w:pPr>
        <w:pStyle w:val="LegalBullet"/>
        <w:numPr>
          <w:ilvl w:val="0"/>
          <w:numId w:val="1"/>
        </w:numPr>
      </w:pPr>
      <w:r>
        <w:t>Karşı oy veya çekilme/çıkar çatışması kaydı.</w:t>
      </w:r>
    </w:p>
    <w:p w:rsidR="001A4670" w:rsidRDefault="00EF5986">
      <w:pPr>
        <w:pStyle w:val="LegalBullet"/>
        <w:numPr>
          <w:ilvl w:val="0"/>
          <w:numId w:val="1"/>
        </w:numPr>
      </w:pPr>
      <w:r>
        <w:t>Başkan ve üyelerin ad-soyad, imza ve karar tarihi/sayısı.</w:t>
      </w:r>
    </w:p>
    <w:p w:rsidR="001A4670" w:rsidRDefault="00EF5986">
      <w:pPr>
        <w:pStyle w:val="TableCaption"/>
      </w:pPr>
      <w:r>
        <w:t>Karar, imza ve koşul kapatma kaydı</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2000"/>
        <w:gridCol w:w="2900"/>
        <w:gridCol w:w="2900"/>
        <w:gridCol w:w="1680"/>
      </w:tblGrid>
      <w:tr w:rsidR="001A4670">
        <w:trPr>
          <w:tblHeader/>
        </w:trPr>
        <w:tc>
          <w:tcPr>
            <w:tcW w:w="20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Rol</w:t>
            </w:r>
          </w:p>
        </w:tc>
        <w:tc>
          <w:tcPr>
            <w:tcW w:w="29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Ad-soyad</w:t>
            </w:r>
          </w:p>
        </w:tc>
        <w:tc>
          <w:tcPr>
            <w:tcW w:w="29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Görüş / tarih</w:t>
            </w:r>
          </w:p>
        </w:tc>
        <w:tc>
          <w:tcPr>
            <w:tcW w:w="16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İmza</w:t>
            </w:r>
          </w:p>
        </w:tc>
      </w:tr>
      <w:tr w:rsidR="001A4670">
        <w:trPr>
          <w:cantSplit/>
        </w:trPr>
        <w:tc>
          <w:tcPr>
            <w:tcW w:w="2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Komisyon Başkanı</w:t>
            </w:r>
          </w:p>
        </w:tc>
        <w:tc>
          <w:tcPr>
            <w:tcW w:w="29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29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16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2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Üyeler</w:t>
            </w:r>
          </w:p>
        </w:tc>
        <w:tc>
          <w:tcPr>
            <w:tcW w:w="29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Ek imza listesi / karar tutanağı</w:t>
            </w:r>
          </w:p>
        </w:tc>
        <w:tc>
          <w:tcPr>
            <w:tcW w:w="29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Katıldı / çekildi / karşı oy</w:t>
            </w:r>
          </w:p>
        </w:tc>
        <w:tc>
          <w:tcPr>
            <w:tcW w:w="16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2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Raportör</w:t>
            </w:r>
          </w:p>
        </w:tc>
        <w:tc>
          <w:tcPr>
            <w:tcW w:w="29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29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Ön inceleme tamamlandı</w:t>
            </w:r>
          </w:p>
        </w:tc>
        <w:tc>
          <w:tcPr>
            <w:tcW w:w="16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bl>
    <w:p w:rsidR="001A4670" w:rsidRDefault="001A4670">
      <w:pPr>
        <w:spacing w:after="20"/>
      </w:pP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3000"/>
        <w:gridCol w:w="1800"/>
        <w:gridCol w:w="1600"/>
        <w:gridCol w:w="3080"/>
      </w:tblGrid>
      <w:tr w:rsidR="001A4670">
        <w:trPr>
          <w:tblHeader/>
        </w:trPr>
        <w:tc>
          <w:tcPr>
            <w:tcW w:w="30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Koşul / izin</w:t>
            </w:r>
          </w:p>
        </w:tc>
        <w:tc>
          <w:tcPr>
            <w:tcW w:w="18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Sorumlu</w:t>
            </w:r>
          </w:p>
        </w:tc>
        <w:tc>
          <w:tcPr>
            <w:tcW w:w="16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Son tarih</w:t>
            </w:r>
          </w:p>
        </w:tc>
        <w:tc>
          <w:tcPr>
            <w:tcW w:w="30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Kapanış kanıtı / Başkan doğrulaması</w:t>
            </w:r>
          </w:p>
        </w:tc>
      </w:tr>
      <w:tr w:rsidR="001A4670">
        <w:trPr>
          <w:cantSplit/>
        </w:trPr>
        <w:tc>
          <w:tcPr>
            <w:tcW w:w="3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w:t>
            </w:r>
          </w:p>
        </w:tc>
        <w:tc>
          <w:tcPr>
            <w:tcW w:w="1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16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30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bl>
    <w:p w:rsidR="001A4670" w:rsidRDefault="001A4670">
      <w:pPr>
        <w:spacing w:after="20"/>
      </w:pPr>
    </w:p>
    <w:p w:rsidR="001A4670" w:rsidRDefault="00EF5986">
      <w:r>
        <w:br w:type="page"/>
      </w:r>
    </w:p>
    <w:p w:rsidR="001A4670" w:rsidRDefault="00EF5986">
      <w:pPr>
        <w:pStyle w:val="TableCaption"/>
      </w:pPr>
      <w:r>
        <w:lastRenderedPageBreak/>
        <w:t>EK-3 • Akademik Takvim ve Sınav Çakışması Kontrol Matrisi</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2100"/>
        <w:gridCol w:w="1200"/>
        <w:gridCol w:w="1200"/>
        <w:gridCol w:w="2800"/>
        <w:gridCol w:w="2180"/>
      </w:tblGrid>
      <w:tr w:rsidR="001A4670">
        <w:trPr>
          <w:tblHeader/>
        </w:trPr>
        <w:tc>
          <w:tcPr>
            <w:tcW w:w="21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Süreç</w:t>
            </w:r>
          </w:p>
        </w:tc>
        <w:tc>
          <w:tcPr>
            <w:tcW w:w="12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Başlangıç</w:t>
            </w:r>
          </w:p>
        </w:tc>
        <w:tc>
          <w:tcPr>
            <w:tcW w:w="12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Bitiş</w:t>
            </w:r>
          </w:p>
        </w:tc>
        <w:tc>
          <w:tcPr>
            <w:tcW w:w="28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Çakışma türü</w:t>
            </w:r>
          </w:p>
        </w:tc>
        <w:tc>
          <w:tcPr>
            <w:tcW w:w="21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Tedbir / görüş</w:t>
            </w:r>
          </w:p>
        </w:tc>
      </w:tr>
      <w:tr w:rsidR="001A4670">
        <w:trPr>
          <w:cantSplit/>
        </w:trPr>
        <w:tc>
          <w:tcPr>
            <w:tcW w:w="21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5"/>
              </w:rPr>
              <w:t>Ara sınav / vize</w:t>
            </w:r>
          </w:p>
        </w:tc>
        <w:tc>
          <w:tcPr>
            <w:tcW w:w="1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1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2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Yok / saat / mekân / öğrenci / görevli</w:t>
            </w:r>
          </w:p>
        </w:tc>
        <w:tc>
          <w:tcPr>
            <w:tcW w:w="21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r>
      <w:tr w:rsidR="001A4670">
        <w:trPr>
          <w:cantSplit/>
        </w:trPr>
        <w:tc>
          <w:tcPr>
            <w:tcW w:w="21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5"/>
              </w:rPr>
              <w:t>Mazeret sınavı</w:t>
            </w:r>
          </w:p>
        </w:tc>
        <w:tc>
          <w:tcPr>
            <w:tcW w:w="1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1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28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Yok / saat / mekân / öğrenci / görevli</w:t>
            </w:r>
          </w:p>
        </w:tc>
        <w:tc>
          <w:tcPr>
            <w:tcW w:w="21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r>
      <w:tr w:rsidR="001A4670">
        <w:trPr>
          <w:cantSplit/>
        </w:trPr>
        <w:tc>
          <w:tcPr>
            <w:tcW w:w="21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5"/>
              </w:rPr>
              <w:t>Dönem-yarıyıl-yıl sonu</w:t>
            </w:r>
          </w:p>
        </w:tc>
        <w:tc>
          <w:tcPr>
            <w:tcW w:w="1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1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2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Tam koruma kontrolü</w:t>
            </w:r>
          </w:p>
        </w:tc>
        <w:tc>
          <w:tcPr>
            <w:tcW w:w="21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r>
      <w:tr w:rsidR="001A4670">
        <w:trPr>
          <w:cantSplit/>
        </w:trPr>
        <w:tc>
          <w:tcPr>
            <w:tcW w:w="21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5"/>
              </w:rPr>
              <w:t>Bütünleme</w:t>
            </w:r>
          </w:p>
        </w:tc>
        <w:tc>
          <w:tcPr>
            <w:tcW w:w="1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1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28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Tam koruma kontrolü</w:t>
            </w:r>
          </w:p>
        </w:tc>
        <w:tc>
          <w:tcPr>
            <w:tcW w:w="21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r>
      <w:tr w:rsidR="001A4670">
        <w:trPr>
          <w:cantSplit/>
        </w:trPr>
        <w:tc>
          <w:tcPr>
            <w:tcW w:w="21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5"/>
              </w:rPr>
              <w:t>Tek ders</w:t>
            </w:r>
          </w:p>
        </w:tc>
        <w:tc>
          <w:tcPr>
            <w:tcW w:w="1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1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2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Tam koruma kontrolü</w:t>
            </w:r>
          </w:p>
        </w:tc>
        <w:tc>
          <w:tcPr>
            <w:tcW w:w="21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r>
      <w:tr w:rsidR="001A4670">
        <w:trPr>
          <w:cantSplit/>
        </w:trPr>
        <w:tc>
          <w:tcPr>
            <w:tcW w:w="21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5"/>
              </w:rPr>
              <w:t>Ek sınav / azami süre</w:t>
            </w:r>
          </w:p>
        </w:tc>
        <w:tc>
          <w:tcPr>
            <w:tcW w:w="1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1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28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Tam koruma kontrolü</w:t>
            </w:r>
          </w:p>
        </w:tc>
        <w:tc>
          <w:tcPr>
            <w:tcW w:w="21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r>
      <w:tr w:rsidR="001A4670">
        <w:trPr>
          <w:cantSplit/>
        </w:trPr>
        <w:tc>
          <w:tcPr>
            <w:tcW w:w="21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5"/>
              </w:rPr>
              <w:t>Muafiyet / yeterlik / seviye</w:t>
            </w:r>
          </w:p>
        </w:tc>
        <w:tc>
          <w:tcPr>
            <w:tcW w:w="1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1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2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Saat ve mekân kontrolü</w:t>
            </w:r>
          </w:p>
        </w:tc>
        <w:tc>
          <w:tcPr>
            <w:tcW w:w="21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r>
      <w:tr w:rsidR="001A4670">
        <w:trPr>
          <w:cantSplit/>
        </w:trPr>
        <w:tc>
          <w:tcPr>
            <w:tcW w:w="21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5"/>
              </w:rPr>
              <w:t>Özel yetenek / yerleştirme</w:t>
            </w:r>
          </w:p>
        </w:tc>
        <w:tc>
          <w:tcPr>
            <w:tcW w:w="1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1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28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Tam koruma ve insan kaynağı</w:t>
            </w:r>
          </w:p>
        </w:tc>
        <w:tc>
          <w:tcPr>
            <w:tcW w:w="21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r>
      <w:tr w:rsidR="001A4670">
        <w:trPr>
          <w:cantSplit/>
        </w:trPr>
        <w:tc>
          <w:tcPr>
            <w:tcW w:w="21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5"/>
              </w:rPr>
              <w:t>Uygulama / jüri / portfolyo / bitirme</w:t>
            </w:r>
          </w:p>
        </w:tc>
        <w:tc>
          <w:tcPr>
            <w:tcW w:w="1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1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2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Program bazlı koruma</w:t>
            </w:r>
          </w:p>
        </w:tc>
        <w:tc>
          <w:tcPr>
            <w:tcW w:w="21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r>
      <w:tr w:rsidR="001A4670">
        <w:trPr>
          <w:cantSplit/>
        </w:trPr>
        <w:tc>
          <w:tcPr>
            <w:tcW w:w="21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5"/>
              </w:rPr>
              <w:t>Lisansüstü yeterlik / savunma</w:t>
            </w:r>
          </w:p>
        </w:tc>
        <w:tc>
          <w:tcPr>
            <w:tcW w:w="1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1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c>
          <w:tcPr>
            <w:tcW w:w="28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Program bazlı koruma</w:t>
            </w:r>
          </w:p>
        </w:tc>
        <w:tc>
          <w:tcPr>
            <w:tcW w:w="21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5"/>
              </w:rPr>
              <w:t>……</w:t>
            </w:r>
          </w:p>
        </w:tc>
      </w:tr>
    </w:tbl>
    <w:p w:rsidR="001A4670" w:rsidRDefault="001A4670">
      <w:pPr>
        <w:spacing w:after="20"/>
      </w:pPr>
    </w:p>
    <w:p w:rsidR="001A4670" w:rsidRDefault="00EF5986">
      <w:pPr>
        <w:keepLines/>
        <w:shd w:val="clear" w:color="auto" w:fill="F2F4F7"/>
        <w:spacing w:before="120" w:after="160"/>
        <w:ind w:left="113" w:right="113"/>
        <w:jc w:val="left"/>
      </w:pPr>
      <w:r>
        <w:rPr>
          <w:rFonts w:eastAsia="Calibri" w:cs="Calibri"/>
          <w:b/>
          <w:color w:val="173A63"/>
          <w:sz w:val="20"/>
        </w:rPr>
        <w:t>SONUÇ</w:t>
      </w:r>
      <w:r>
        <w:rPr>
          <w:rFonts w:eastAsia="Calibri" w:cs="Calibri"/>
          <w:b/>
          <w:color w:val="173A63"/>
          <w:sz w:val="20"/>
        </w:rPr>
        <w:br/>
      </w:r>
      <w:r>
        <w:rPr>
          <w:rFonts w:eastAsia="Calibri" w:cs="Calibri"/>
          <w:sz w:val="19"/>
        </w:rPr>
        <w:t>Faaliyet: Uygun / Tarih değişikliği gerekli / Mekân-saat tedbiri gerekli / İstisna ve Dekanlık onayı gerekli.</w:t>
      </w:r>
    </w:p>
    <w:p w:rsidR="001A4670" w:rsidRDefault="00EF5986">
      <w:pPr>
        <w:pStyle w:val="TableCaption"/>
      </w:pPr>
      <w:r>
        <w:t>Çakışma gerekçesi, alınan görüş ve yeniden planlama kaydı</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3100"/>
        <w:gridCol w:w="6380"/>
      </w:tblGrid>
      <w:tr w:rsidR="001A4670">
        <w:trPr>
          <w:tblHeader/>
        </w:trPr>
        <w:tc>
          <w:tcPr>
            <w:tcW w:w="31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Kayıt</w:t>
            </w:r>
          </w:p>
        </w:tc>
        <w:tc>
          <w:tcPr>
            <w:tcW w:w="63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Açıklama</w:t>
            </w:r>
          </w:p>
        </w:tc>
      </w:tr>
      <w:tr w:rsidR="001A4670">
        <w:trPr>
          <w:cantSplit/>
        </w:trPr>
        <w:tc>
          <w:tcPr>
            <w:tcW w:w="31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Etkilenen ders/program/öğrenci</w:t>
            </w:r>
          </w:p>
        </w:tc>
        <w:tc>
          <w:tcPr>
            <w:tcW w:w="63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31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Alternatif tarih, saat veya mekân</w:t>
            </w:r>
          </w:p>
        </w:tc>
        <w:tc>
          <w:tcPr>
            <w:tcW w:w="63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31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İlgili birim/komisyon görüşü</w:t>
            </w:r>
          </w:p>
        </w:tc>
        <w:tc>
          <w:tcPr>
            <w:tcW w:w="63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31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İstisna gerekçesi ve Dekanlık kararı</w:t>
            </w:r>
          </w:p>
        </w:tc>
        <w:tc>
          <w:tcPr>
            <w:tcW w:w="63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bl>
    <w:p w:rsidR="001A4670" w:rsidRDefault="001A4670">
      <w:pPr>
        <w:spacing w:after="20"/>
      </w:pP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2400"/>
        <w:gridCol w:w="2400"/>
        <w:gridCol w:w="2400"/>
        <w:gridCol w:w="2280"/>
      </w:tblGrid>
      <w:tr w:rsidR="001A4670">
        <w:trPr>
          <w:tblHeader/>
        </w:trPr>
        <w:tc>
          <w:tcPr>
            <w:tcW w:w="24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Kontrol eden temsilci</w:t>
            </w:r>
          </w:p>
        </w:tc>
        <w:tc>
          <w:tcPr>
            <w:tcW w:w="24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Ders-sınav görüşü</w:t>
            </w:r>
          </w:p>
        </w:tc>
        <w:tc>
          <w:tcPr>
            <w:tcW w:w="24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Komisyon Başkanı</w:t>
            </w:r>
          </w:p>
        </w:tc>
        <w:tc>
          <w:tcPr>
            <w:tcW w:w="22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Tarih / karar no</w:t>
            </w:r>
          </w:p>
        </w:tc>
      </w:tr>
      <w:tr w:rsidR="001A4670">
        <w:trPr>
          <w:cantSplit/>
        </w:trPr>
        <w:tc>
          <w:tcPr>
            <w:tcW w:w="24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w:t>
            </w:r>
          </w:p>
        </w:tc>
        <w:tc>
          <w:tcPr>
            <w:tcW w:w="24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24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22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bl>
    <w:p w:rsidR="001A4670" w:rsidRDefault="001A4670">
      <w:pPr>
        <w:spacing w:after="20"/>
      </w:pPr>
    </w:p>
    <w:p w:rsidR="001A4670" w:rsidRDefault="00EF5986">
      <w:r>
        <w:br w:type="page"/>
      </w:r>
    </w:p>
    <w:p w:rsidR="001A4670" w:rsidRDefault="00EF5986">
      <w:pPr>
        <w:pStyle w:val="TableCaption"/>
      </w:pPr>
      <w:r>
        <w:lastRenderedPageBreak/>
        <w:t>EK-4 • SBK Sergi Başvurusu ve Uygunluk Kontrol Listesi</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5000"/>
        <w:gridCol w:w="2500"/>
        <w:gridCol w:w="1980"/>
      </w:tblGrid>
      <w:tr w:rsidR="001A4670">
        <w:trPr>
          <w:tblHeader/>
        </w:trPr>
        <w:tc>
          <w:tcPr>
            <w:tcW w:w="50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Kontrol</w:t>
            </w:r>
          </w:p>
        </w:tc>
        <w:tc>
          <w:tcPr>
            <w:tcW w:w="25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Durum</w:t>
            </w:r>
          </w:p>
        </w:tc>
        <w:tc>
          <w:tcPr>
            <w:tcW w:w="19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Açıklama</w:t>
            </w:r>
          </w:p>
        </w:tc>
      </w:tr>
      <w:tr w:rsidR="001A4670">
        <w:trPr>
          <w:cantSplit/>
        </w:trPr>
        <w:tc>
          <w:tcPr>
            <w:tcW w:w="5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Üyelik ve kurum/bölüm bilgisi</w:t>
            </w:r>
          </w:p>
        </w:tc>
        <w:tc>
          <w:tcPr>
            <w:tcW w:w="2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Var / Eksik / Uygulanmaz</w:t>
            </w:r>
          </w:p>
        </w:tc>
        <w:tc>
          <w:tcPr>
            <w:tcW w:w="19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5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Kısa özgeçmiş ve sanatçı özgeçmişi</w:t>
            </w:r>
          </w:p>
        </w:tc>
        <w:tc>
          <w:tcPr>
            <w:tcW w:w="25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Var / Eksik / Uygulanmaz</w:t>
            </w:r>
          </w:p>
        </w:tc>
        <w:tc>
          <w:tcPr>
            <w:tcW w:w="19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5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Sanatsal çalışma alanı ve sergi açıklama metni</w:t>
            </w:r>
          </w:p>
        </w:tc>
        <w:tc>
          <w:tcPr>
            <w:tcW w:w="2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Var / Eksik / Uygulanmaz</w:t>
            </w:r>
          </w:p>
        </w:tc>
        <w:tc>
          <w:tcPr>
            <w:tcW w:w="19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5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Eser görsellerini içeren tek PDF</w:t>
            </w:r>
          </w:p>
        </w:tc>
        <w:tc>
          <w:tcPr>
            <w:tcW w:w="25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Var / Eksik / Uygulanmaz</w:t>
            </w:r>
          </w:p>
        </w:tc>
        <w:tc>
          <w:tcPr>
            <w:tcW w:w="19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5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Afiş veya taslak afiş</w:t>
            </w:r>
          </w:p>
        </w:tc>
        <w:tc>
          <w:tcPr>
            <w:tcW w:w="2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Var / Eksik / Uygulanmaz</w:t>
            </w:r>
          </w:p>
        </w:tc>
        <w:tc>
          <w:tcPr>
            <w:tcW w:w="19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5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Karma sergi: küratör/sorumlu ve katılımcı listesi</w:t>
            </w:r>
          </w:p>
        </w:tc>
        <w:tc>
          <w:tcPr>
            <w:tcW w:w="25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Var / Eksik / Uygulanmaz</w:t>
            </w:r>
          </w:p>
        </w:tc>
        <w:tc>
          <w:tcPr>
            <w:tcW w:w="19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5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Öğrenci sergisi: ders/atölye/proje ve danışman onayı</w:t>
            </w:r>
          </w:p>
        </w:tc>
        <w:tc>
          <w:tcPr>
            <w:tcW w:w="2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Var / Eksik / Uygulanmaz</w:t>
            </w:r>
          </w:p>
        </w:tc>
        <w:tc>
          <w:tcPr>
            <w:tcW w:w="19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5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Telif, kişilik hakkı, KVKK ve kayıt izinleri</w:t>
            </w:r>
          </w:p>
        </w:tc>
        <w:tc>
          <w:tcPr>
            <w:tcW w:w="25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Var / Eksik / Uygulanmaz</w:t>
            </w:r>
          </w:p>
        </w:tc>
        <w:tc>
          <w:tcPr>
            <w:tcW w:w="19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5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Özgünlük, kavramsal bütünlük ve teknik yeterlik</w:t>
            </w:r>
          </w:p>
        </w:tc>
        <w:tc>
          <w:tcPr>
            <w:tcW w:w="2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Uygun / Revizyon / Uygun değil</w:t>
            </w:r>
          </w:p>
        </w:tc>
        <w:tc>
          <w:tcPr>
            <w:tcW w:w="19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5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Toplumsal değerler ve akademik-sanatsal uygunluk</w:t>
            </w:r>
          </w:p>
        </w:tc>
        <w:tc>
          <w:tcPr>
            <w:tcW w:w="25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Uygun / Revizyon / Uygun değil</w:t>
            </w:r>
          </w:p>
        </w:tc>
        <w:tc>
          <w:tcPr>
            <w:tcW w:w="19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50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Dijital sunum, çözünürlük ve platform standardı</w:t>
            </w:r>
          </w:p>
        </w:tc>
        <w:tc>
          <w:tcPr>
            <w:tcW w:w="25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Uygun / Revizyon / Uygun değil</w:t>
            </w:r>
          </w:p>
        </w:tc>
        <w:tc>
          <w:tcPr>
            <w:tcW w:w="19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50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Kota, takvim ve sınav dönemi</w:t>
            </w:r>
          </w:p>
        </w:tc>
        <w:tc>
          <w:tcPr>
            <w:tcW w:w="25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Uygun / Revizyon / Uygun değil</w:t>
            </w:r>
          </w:p>
        </w:tc>
        <w:tc>
          <w:tcPr>
            <w:tcW w:w="19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bl>
    <w:p w:rsidR="001A4670" w:rsidRDefault="001A4670">
      <w:pPr>
        <w:spacing w:after="20"/>
      </w:pP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2800"/>
        <w:gridCol w:w="1800"/>
        <w:gridCol w:w="4880"/>
      </w:tblGrid>
      <w:tr w:rsidR="001A4670">
        <w:trPr>
          <w:tblHeader/>
        </w:trPr>
        <w:tc>
          <w:tcPr>
            <w:tcW w:w="28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SBK Komisyon kararı</w:t>
            </w:r>
          </w:p>
        </w:tc>
        <w:tc>
          <w:tcPr>
            <w:tcW w:w="18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Oy</w:t>
            </w:r>
          </w:p>
        </w:tc>
        <w:tc>
          <w:tcPr>
            <w:tcW w:w="48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Gerekçe / düzenleme</w:t>
            </w:r>
          </w:p>
        </w:tc>
      </w:tr>
      <w:tr w:rsidR="001A4670">
        <w:trPr>
          <w:cantSplit/>
        </w:trPr>
        <w:tc>
          <w:tcPr>
            <w:tcW w:w="2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Onaylandı / Reddedildi / Düzenleme</w:t>
            </w:r>
          </w:p>
        </w:tc>
        <w:tc>
          <w:tcPr>
            <w:tcW w:w="1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 / 5 (en az 4/5)</w:t>
            </w:r>
          </w:p>
        </w:tc>
        <w:tc>
          <w:tcPr>
            <w:tcW w:w="48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bl>
    <w:p w:rsidR="001A4670" w:rsidRDefault="001A4670">
      <w:pPr>
        <w:spacing w:after="20"/>
      </w:pPr>
    </w:p>
    <w:p w:rsidR="001A4670" w:rsidRDefault="00EF5986">
      <w:pPr>
        <w:pStyle w:val="TableCaption"/>
      </w:pPr>
      <w:r>
        <w:t>Bildirim, yayın ve kurul kaydı</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1800"/>
        <w:gridCol w:w="2940"/>
        <w:gridCol w:w="1800"/>
        <w:gridCol w:w="2940"/>
      </w:tblGrid>
      <w:tr w:rsidR="001A4670">
        <w:trPr>
          <w:tblHeader/>
        </w:trPr>
        <w:tc>
          <w:tcPr>
            <w:tcW w:w="18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Kayıt</w:t>
            </w:r>
          </w:p>
        </w:tc>
        <w:tc>
          <w:tcPr>
            <w:tcW w:w="294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Bilgi</w:t>
            </w:r>
          </w:p>
        </w:tc>
        <w:tc>
          <w:tcPr>
            <w:tcW w:w="18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Kayıt</w:t>
            </w:r>
          </w:p>
        </w:tc>
        <w:tc>
          <w:tcPr>
            <w:tcW w:w="294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Bilgi</w:t>
            </w:r>
          </w:p>
        </w:tc>
      </w:tr>
      <w:tr w:rsidR="001A4670">
        <w:trPr>
          <w:cantSplit/>
        </w:trPr>
        <w:tc>
          <w:tcPr>
            <w:tcW w:w="1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Karar tarihi / no</w:t>
            </w:r>
          </w:p>
        </w:tc>
        <w:tc>
          <w:tcPr>
            <w:tcW w:w="294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1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Başvuru sahibine bildirim</w:t>
            </w:r>
          </w:p>
        </w:tc>
        <w:tc>
          <w:tcPr>
            <w:tcW w:w="294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Tarih … / sistem-e-posta</w:t>
            </w:r>
          </w:p>
        </w:tc>
      </w:tr>
      <w:tr w:rsidR="001A4670">
        <w:trPr>
          <w:cantSplit/>
        </w:trPr>
        <w:tc>
          <w:tcPr>
            <w:tcW w:w="18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Yayın başlangıcı</w:t>
            </w:r>
          </w:p>
        </w:tc>
        <w:tc>
          <w:tcPr>
            <w:tcW w:w="294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18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Yayın bitişi</w:t>
            </w:r>
          </w:p>
        </w:tc>
        <w:tc>
          <w:tcPr>
            <w:tcW w:w="294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Sergi bağlantısı</w:t>
            </w:r>
          </w:p>
        </w:tc>
        <w:tc>
          <w:tcPr>
            <w:tcW w:w="294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1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Arşiv / istatistik kaydı</w:t>
            </w:r>
          </w:p>
        </w:tc>
        <w:tc>
          <w:tcPr>
            <w:tcW w:w="294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8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Başkan / raportör</w:t>
            </w:r>
          </w:p>
        </w:tc>
        <w:tc>
          <w:tcPr>
            <w:tcW w:w="294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18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Platform yetkilisi</w:t>
            </w:r>
          </w:p>
        </w:tc>
        <w:tc>
          <w:tcPr>
            <w:tcW w:w="294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bl>
    <w:p w:rsidR="001A4670" w:rsidRDefault="001A4670">
      <w:pPr>
        <w:spacing w:after="20"/>
      </w:pPr>
    </w:p>
    <w:p w:rsidR="001A4670" w:rsidRDefault="00EF5986">
      <w:r>
        <w:br w:type="page"/>
      </w:r>
    </w:p>
    <w:p w:rsidR="001A4670" w:rsidRDefault="00EF5986">
      <w:pPr>
        <w:pStyle w:val="TableCaption"/>
      </w:pPr>
      <w:r>
        <w:lastRenderedPageBreak/>
        <w:t>EK-5 • Faaliyet Sonu, Kanıt ve İyileştirme Formu</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1700"/>
        <w:gridCol w:w="3150"/>
        <w:gridCol w:w="1700"/>
        <w:gridCol w:w="2930"/>
      </w:tblGrid>
      <w:tr w:rsidR="001A4670">
        <w:trPr>
          <w:tblHeader/>
        </w:trPr>
        <w:tc>
          <w:tcPr>
            <w:tcW w:w="17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Alan</w:t>
            </w:r>
          </w:p>
        </w:tc>
        <w:tc>
          <w:tcPr>
            <w:tcW w:w="315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Bilgi</w:t>
            </w:r>
          </w:p>
        </w:tc>
        <w:tc>
          <w:tcPr>
            <w:tcW w:w="17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Alan</w:t>
            </w:r>
          </w:p>
        </w:tc>
        <w:tc>
          <w:tcPr>
            <w:tcW w:w="293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Bilgi</w:t>
            </w:r>
          </w:p>
        </w:tc>
      </w:tr>
      <w:tr w:rsidR="001A4670">
        <w:trPr>
          <w:cantSplit/>
        </w:trPr>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Faaliyet / birim</w:t>
            </w:r>
          </w:p>
        </w:tc>
        <w:tc>
          <w:tcPr>
            <w:tcW w:w="31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Gerçekleşen tarih-mekân</w:t>
            </w:r>
          </w:p>
        </w:tc>
        <w:tc>
          <w:tcPr>
            <w:tcW w:w="293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Katılım</w:t>
            </w:r>
          </w:p>
        </w:tc>
        <w:tc>
          <w:tcPr>
            <w:tcW w:w="31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Öğrenci … / personel … / dış … / toplam …</w:t>
            </w:r>
          </w:p>
        </w:tc>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Dijital erişim</w:t>
            </w:r>
          </w:p>
        </w:tc>
        <w:tc>
          <w:tcPr>
            <w:tcW w:w="293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Görüntülenme … / tekil erişim …</w:t>
            </w:r>
          </w:p>
        </w:tc>
      </w:tr>
      <w:tr w:rsidR="001A4670">
        <w:trPr>
          <w:cantSplit/>
        </w:trPr>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Bütçe / ayni katkı</w:t>
            </w:r>
          </w:p>
        </w:tc>
        <w:tc>
          <w:tcPr>
            <w:tcW w:w="31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Plan … / gerçekleşen …</w:t>
            </w:r>
          </w:p>
        </w:tc>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Ortak/paydaş katkısı</w:t>
            </w:r>
          </w:p>
        </w:tc>
        <w:tc>
          <w:tcPr>
            <w:tcW w:w="293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Erişilebilirlik</w:t>
            </w:r>
          </w:p>
        </w:tc>
        <w:tc>
          <w:tcPr>
            <w:tcW w:w="31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Uygulanan düzenlemeler</w:t>
            </w:r>
          </w:p>
        </w:tc>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Güvenlik/olay</w:t>
            </w:r>
          </w:p>
        </w:tc>
        <w:tc>
          <w:tcPr>
            <w:tcW w:w="293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Yok / açıklama</w:t>
            </w:r>
          </w:p>
        </w:tc>
      </w:tr>
      <w:tr w:rsidR="001A4670">
        <w:trPr>
          <w:cantSplit/>
        </w:trPr>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İletişim ve görünürlük</w:t>
            </w:r>
          </w:p>
        </w:tc>
        <w:tc>
          <w:tcPr>
            <w:tcW w:w="31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Web / SBK / sosyal medya / basın / katalog</w:t>
            </w:r>
          </w:p>
        </w:tc>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Kanıt bağlantısı</w:t>
            </w:r>
          </w:p>
        </w:tc>
        <w:tc>
          <w:tcPr>
            <w:tcW w:w="293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Hedef gerçekleşme</w:t>
            </w:r>
          </w:p>
        </w:tc>
        <w:tc>
          <w:tcPr>
            <w:tcW w:w="315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Tam / kısmi / gerçekleşmedi</w:t>
            </w:r>
          </w:p>
        </w:tc>
        <w:tc>
          <w:tcPr>
            <w:tcW w:w="17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Memnuniyet/geri bildirim</w:t>
            </w:r>
          </w:p>
        </w:tc>
        <w:tc>
          <w:tcPr>
            <w:tcW w:w="293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Sapma ve neden</w:t>
            </w:r>
          </w:p>
        </w:tc>
        <w:tc>
          <w:tcPr>
            <w:tcW w:w="315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c>
          <w:tcPr>
            <w:tcW w:w="17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İyileştirme eylemi</w:t>
            </w:r>
          </w:p>
        </w:tc>
        <w:tc>
          <w:tcPr>
            <w:tcW w:w="293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Sorumlu … / süre …</w:t>
            </w:r>
          </w:p>
        </w:tc>
      </w:tr>
    </w:tbl>
    <w:p w:rsidR="001A4670" w:rsidRDefault="001A4670">
      <w:pPr>
        <w:spacing w:after="20"/>
      </w:pPr>
    </w:p>
    <w:p w:rsidR="001A4670" w:rsidRDefault="00EF5986">
      <w:pPr>
        <w:pStyle w:val="LegalBullet"/>
        <w:numPr>
          <w:ilvl w:val="0"/>
          <w:numId w:val="1"/>
        </w:numPr>
      </w:pPr>
      <w:r>
        <w:t>Ek kanıtlar: onay/karar, nihai program, afiş-katalog, katılımcı/görev listesi, fotoğraf-video, yayın bağlantısı, izinler, geri bildirim özeti, basın kaydı.</w:t>
      </w:r>
    </w:p>
    <w:p w:rsidR="001A4670" w:rsidRDefault="00EF5986">
      <w:pPr>
        <w:pStyle w:val="LegalBullet"/>
        <w:numPr>
          <w:ilvl w:val="0"/>
          <w:numId w:val="1"/>
        </w:numPr>
      </w:pPr>
      <w:r>
        <w:t>Sanatsal/kültürel çıktı ve öğrenci öğrenmesine katkı özeti.</w:t>
      </w:r>
    </w:p>
    <w:p w:rsidR="001A4670" w:rsidRDefault="00EF5986">
      <w:pPr>
        <w:pStyle w:val="LegalBullet"/>
        <w:numPr>
          <w:ilvl w:val="0"/>
          <w:numId w:val="1"/>
        </w:numPr>
      </w:pPr>
      <w:r>
        <w:t>Toplumsal/kültürel etki, sürdürülebilir ortaklık ve sonraki uygulama önerisi.</w:t>
      </w:r>
    </w:p>
    <w:p w:rsidR="001A4670" w:rsidRDefault="00EF5986">
      <w:pPr>
        <w:pStyle w:val="TableCaption"/>
      </w:pPr>
      <w:r>
        <w:t>Sonuç özeti ve kapanış</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3200"/>
        <w:gridCol w:w="6280"/>
      </w:tblGrid>
      <w:tr w:rsidR="001A4670">
        <w:trPr>
          <w:tblHeader/>
        </w:trPr>
        <w:tc>
          <w:tcPr>
            <w:tcW w:w="32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Alan</w:t>
            </w:r>
          </w:p>
        </w:tc>
        <w:tc>
          <w:tcPr>
            <w:tcW w:w="62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Değerlendirme</w:t>
            </w:r>
          </w:p>
        </w:tc>
      </w:tr>
      <w:tr w:rsidR="001A4670">
        <w:trPr>
          <w:cantSplit/>
        </w:trPr>
        <w:tc>
          <w:tcPr>
            <w:tcW w:w="3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Güçlü yön / özgün katkı</w:t>
            </w:r>
          </w:p>
        </w:tc>
        <w:tc>
          <w:tcPr>
            <w:tcW w:w="62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3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Geliştirmeye açık alan / risk</w:t>
            </w:r>
          </w:p>
        </w:tc>
        <w:tc>
          <w:tcPr>
            <w:tcW w:w="62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3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Bir sonraki uygulamaya aktarılacak ders</w:t>
            </w:r>
          </w:p>
        </w:tc>
        <w:tc>
          <w:tcPr>
            <w:tcW w:w="62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3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Dosya kapanışı</w:t>
            </w:r>
          </w:p>
        </w:tc>
        <w:tc>
          <w:tcPr>
            <w:tcW w:w="62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Tam / Eksik; eksik kanıt ……………………; son tarih ……………………</w:t>
            </w:r>
          </w:p>
        </w:tc>
      </w:tr>
    </w:tbl>
    <w:p w:rsidR="001A4670" w:rsidRDefault="001A4670">
      <w:pPr>
        <w:spacing w:after="20"/>
      </w:pP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2400"/>
        <w:gridCol w:w="2400"/>
        <w:gridCol w:w="2400"/>
        <w:gridCol w:w="2280"/>
      </w:tblGrid>
      <w:tr w:rsidR="001A4670">
        <w:trPr>
          <w:tblHeader/>
        </w:trPr>
        <w:tc>
          <w:tcPr>
            <w:tcW w:w="24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Faaliyet sorumlusu</w:t>
            </w:r>
          </w:p>
        </w:tc>
        <w:tc>
          <w:tcPr>
            <w:tcW w:w="24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Birim temsilcisi</w:t>
            </w:r>
          </w:p>
        </w:tc>
        <w:tc>
          <w:tcPr>
            <w:tcW w:w="24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Komisyon Başkanı</w:t>
            </w:r>
          </w:p>
        </w:tc>
        <w:tc>
          <w:tcPr>
            <w:tcW w:w="22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Kapanış tarihi</w:t>
            </w:r>
          </w:p>
        </w:tc>
      </w:tr>
      <w:tr w:rsidR="001A4670">
        <w:trPr>
          <w:cantSplit/>
        </w:trPr>
        <w:tc>
          <w:tcPr>
            <w:tcW w:w="24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Ad-soyad / imza</w:t>
            </w:r>
          </w:p>
        </w:tc>
        <w:tc>
          <w:tcPr>
            <w:tcW w:w="24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Ad-soyad / imza</w:t>
            </w:r>
          </w:p>
        </w:tc>
        <w:tc>
          <w:tcPr>
            <w:tcW w:w="24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Ad-soyad / imza</w:t>
            </w:r>
          </w:p>
        </w:tc>
        <w:tc>
          <w:tcPr>
            <w:tcW w:w="22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bl>
    <w:p w:rsidR="001A4670" w:rsidRDefault="001A4670">
      <w:pPr>
        <w:spacing w:after="20"/>
      </w:pPr>
    </w:p>
    <w:p w:rsidR="001A4670" w:rsidRDefault="00EF5986">
      <w:r>
        <w:br w:type="page"/>
      </w:r>
    </w:p>
    <w:p w:rsidR="001A4670" w:rsidRDefault="00EF5986">
      <w:pPr>
        <w:pStyle w:val="TableCaption"/>
      </w:pPr>
      <w:r>
        <w:lastRenderedPageBreak/>
        <w:t>EK-6 • Yıllık Portföy ve Performans Göstergeleri</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2200"/>
        <w:gridCol w:w="5800"/>
        <w:gridCol w:w="1480"/>
      </w:tblGrid>
      <w:tr w:rsidR="001A4670">
        <w:trPr>
          <w:tblHeader/>
        </w:trPr>
        <w:tc>
          <w:tcPr>
            <w:tcW w:w="22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Boyut</w:t>
            </w:r>
          </w:p>
        </w:tc>
        <w:tc>
          <w:tcPr>
            <w:tcW w:w="58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Gösterge örnekleri</w:t>
            </w:r>
          </w:p>
        </w:tc>
        <w:tc>
          <w:tcPr>
            <w:tcW w:w="14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İzleme</w:t>
            </w:r>
          </w:p>
        </w:tc>
      </w:tr>
      <w:tr w:rsidR="001A4670">
        <w:trPr>
          <w:cantSplit/>
        </w:trPr>
        <w:tc>
          <w:tcPr>
            <w:tcW w:w="2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Portföy</w:t>
            </w:r>
          </w:p>
        </w:tc>
        <w:tc>
          <w:tcPr>
            <w:tcW w:w="5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Faaliyet sayısı; tür, bölüm, disiplin, ölçek ve fiziksel/dijital dağılım</w:t>
            </w:r>
          </w:p>
        </w:tc>
        <w:tc>
          <w:tcPr>
            <w:tcW w:w="14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Dönem / yıl</w:t>
            </w:r>
          </w:p>
        </w:tc>
      </w:tr>
      <w:tr w:rsidR="001A4670">
        <w:trPr>
          <w:cantSplit/>
        </w:trPr>
        <w:tc>
          <w:tcPr>
            <w:tcW w:w="2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Katılım</w:t>
            </w:r>
          </w:p>
        </w:tc>
        <w:tc>
          <w:tcPr>
            <w:tcW w:w="58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Öğrenci, personel, mezun, dış paydaş, sanatçı/konuşmacı ve izleyici</w:t>
            </w:r>
          </w:p>
        </w:tc>
        <w:tc>
          <w:tcPr>
            <w:tcW w:w="14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Dönem / yıl</w:t>
            </w:r>
          </w:p>
        </w:tc>
      </w:tr>
      <w:tr w:rsidR="001A4670">
        <w:trPr>
          <w:cantSplit/>
        </w:trPr>
        <w:tc>
          <w:tcPr>
            <w:tcW w:w="2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SBK</w:t>
            </w:r>
          </w:p>
        </w:tc>
        <w:tc>
          <w:tcPr>
            <w:tcW w:w="5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Başvuru, eksik, revizyon, onay, ret, yayın; sergi türü ve erişim verisi</w:t>
            </w:r>
          </w:p>
        </w:tc>
        <w:tc>
          <w:tcPr>
            <w:tcW w:w="14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Dönem / yıl</w:t>
            </w:r>
          </w:p>
        </w:tc>
      </w:tr>
      <w:tr w:rsidR="001A4670">
        <w:trPr>
          <w:cantSplit/>
        </w:trPr>
        <w:tc>
          <w:tcPr>
            <w:tcW w:w="2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Takvim</w:t>
            </w:r>
          </w:p>
        </w:tc>
        <w:tc>
          <w:tcPr>
            <w:tcW w:w="58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Sınav çakışması, tarih değişikliği, erteleme/iptal ve istisna sayısı</w:t>
            </w:r>
          </w:p>
        </w:tc>
        <w:tc>
          <w:tcPr>
            <w:tcW w:w="14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Dönem / yıl</w:t>
            </w:r>
          </w:p>
        </w:tc>
      </w:tr>
      <w:tr w:rsidR="001A4670">
        <w:trPr>
          <w:cantSplit/>
        </w:trPr>
        <w:tc>
          <w:tcPr>
            <w:tcW w:w="2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Erişilebilirlik</w:t>
            </w:r>
          </w:p>
        </w:tc>
        <w:tc>
          <w:tcPr>
            <w:tcW w:w="5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Erişilebilir duyuru, mekân, altyazı/işaret dili, alternatif içerik ve makul düzenleme</w:t>
            </w:r>
          </w:p>
        </w:tc>
        <w:tc>
          <w:tcPr>
            <w:tcW w:w="14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Yıl</w:t>
            </w:r>
          </w:p>
        </w:tc>
      </w:tr>
      <w:tr w:rsidR="001A4670">
        <w:trPr>
          <w:cantSplit/>
        </w:trPr>
        <w:tc>
          <w:tcPr>
            <w:tcW w:w="2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Kaynak</w:t>
            </w:r>
          </w:p>
        </w:tc>
        <w:tc>
          <w:tcPr>
            <w:tcW w:w="58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Bütçe, ayni katkı, sponsorluk, ortak kaynak ve birim başına kullanım</w:t>
            </w:r>
          </w:p>
        </w:tc>
        <w:tc>
          <w:tcPr>
            <w:tcW w:w="14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Yıl</w:t>
            </w:r>
          </w:p>
        </w:tc>
      </w:tr>
      <w:tr w:rsidR="001A4670">
        <w:trPr>
          <w:cantSplit/>
        </w:trPr>
        <w:tc>
          <w:tcPr>
            <w:tcW w:w="2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Görünürlük</w:t>
            </w:r>
          </w:p>
        </w:tc>
        <w:tc>
          <w:tcPr>
            <w:tcW w:w="5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Web/SBK erişimi, medya, katalog/yayın, ulusal-uluslararası görünürlük</w:t>
            </w:r>
          </w:p>
        </w:tc>
        <w:tc>
          <w:tcPr>
            <w:tcW w:w="14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Dönem / yıl</w:t>
            </w:r>
          </w:p>
        </w:tc>
      </w:tr>
      <w:tr w:rsidR="001A4670">
        <w:trPr>
          <w:cantSplit/>
        </w:trPr>
        <w:tc>
          <w:tcPr>
            <w:tcW w:w="2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Kalite ve etki</w:t>
            </w:r>
          </w:p>
        </w:tc>
        <w:tc>
          <w:tcPr>
            <w:tcW w:w="58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Memnuniyet, hedef gerçekleşme, tekrar eden ortaklık, öğrenci öğrenmesi ve toplumsal etki</w:t>
            </w:r>
          </w:p>
        </w:tc>
        <w:tc>
          <w:tcPr>
            <w:tcW w:w="14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Yıl</w:t>
            </w:r>
          </w:p>
        </w:tc>
      </w:tr>
      <w:tr w:rsidR="001A4670">
        <w:trPr>
          <w:cantSplit/>
        </w:trPr>
        <w:tc>
          <w:tcPr>
            <w:tcW w:w="2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Kurumsal hafıza</w:t>
            </w:r>
          </w:p>
        </w:tc>
        <w:tc>
          <w:tcPr>
            <w:tcW w:w="58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Tam kanıtlı dosya oranı, zamanında raporlama, arşiv ve açık iyileştirme eylemleri</w:t>
            </w:r>
          </w:p>
        </w:tc>
        <w:tc>
          <w:tcPr>
            <w:tcW w:w="14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Dönem / yıl</w:t>
            </w:r>
          </w:p>
        </w:tc>
      </w:tr>
    </w:tbl>
    <w:p w:rsidR="001A4670" w:rsidRDefault="001A4670">
      <w:pPr>
        <w:spacing w:after="20"/>
      </w:pPr>
    </w:p>
    <w:p w:rsidR="001A4670" w:rsidRDefault="00EF5986">
      <w:pPr>
        <w:keepLines/>
        <w:shd w:val="clear" w:color="auto" w:fill="F7F1E6"/>
        <w:spacing w:before="120" w:after="160"/>
        <w:ind w:left="113" w:right="113"/>
        <w:jc w:val="left"/>
      </w:pPr>
      <w:r>
        <w:rPr>
          <w:rFonts w:eastAsia="Calibri" w:cs="Calibri"/>
          <w:b/>
          <w:color w:val="A67C36"/>
          <w:sz w:val="20"/>
        </w:rPr>
        <w:t>PUKÖ KAPANIŞI</w:t>
      </w:r>
      <w:r>
        <w:rPr>
          <w:rFonts w:eastAsia="Calibri" w:cs="Calibri"/>
          <w:b/>
          <w:color w:val="A67C36"/>
          <w:sz w:val="20"/>
        </w:rPr>
        <w:br/>
      </w:r>
      <w:r>
        <w:rPr>
          <w:rFonts w:eastAsia="Calibri" w:cs="Calibri"/>
          <w:sz w:val="19"/>
        </w:rPr>
        <w:t>Her gösterge için başlangıç değeri, yıllık hedef, gerçekleşen sonuç, sapma nedeni, sorumlu, iyileştirme eylemi ve kapanış kanıtı birlikte kaydedilir.</w:t>
      </w:r>
    </w:p>
    <w:p w:rsidR="001A4670" w:rsidRDefault="00EF5986">
      <w:pPr>
        <w:pStyle w:val="TableCaption"/>
      </w:pPr>
      <w:r>
        <w:t>Yıllık değerlendirme ve iyileştirme özeti</w:t>
      </w:r>
    </w:p>
    <w:tbl>
      <w:tblPr>
        <w:tblW w:w="9480" w:type="dxa"/>
        <w:tblInd w:w="120" w:type="dxa"/>
        <w:tblBorders>
          <w:top w:val="single" w:sz="6" w:space="0" w:color="B8C2CF"/>
          <w:left w:val="single" w:sz="6" w:space="0" w:color="B8C2CF"/>
          <w:bottom w:val="single" w:sz="6" w:space="0" w:color="B8C2CF"/>
          <w:right w:val="single" w:sz="6" w:space="0" w:color="B8C2CF"/>
          <w:insideH w:val="single" w:sz="6" w:space="0" w:color="B8C2CF"/>
          <w:insideV w:val="single" w:sz="6" w:space="0" w:color="B8C2CF"/>
        </w:tblBorders>
        <w:tblLayout w:type="fixed"/>
        <w:tblLook w:val="04A0" w:firstRow="1" w:lastRow="0" w:firstColumn="1" w:lastColumn="0" w:noHBand="0" w:noVBand="1"/>
      </w:tblPr>
      <w:tblGrid>
        <w:gridCol w:w="3200"/>
        <w:gridCol w:w="6280"/>
      </w:tblGrid>
      <w:tr w:rsidR="001A4670">
        <w:trPr>
          <w:tblHeader/>
        </w:trPr>
        <w:tc>
          <w:tcPr>
            <w:tcW w:w="320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Başlık</w:t>
            </w:r>
          </w:p>
        </w:tc>
        <w:tc>
          <w:tcPr>
            <w:tcW w:w="6280" w:type="dxa"/>
            <w:shd w:val="clear" w:color="auto" w:fill="173A63"/>
            <w:tcMar>
              <w:top w:w="80" w:type="dxa"/>
              <w:left w:w="120" w:type="dxa"/>
              <w:bottom w:w="80" w:type="dxa"/>
              <w:right w:w="120" w:type="dxa"/>
            </w:tcMar>
            <w:vAlign w:val="center"/>
          </w:tcPr>
          <w:p w:rsidR="001A4670" w:rsidRDefault="00EF5986">
            <w:pPr>
              <w:spacing w:after="0"/>
              <w:jc w:val="center"/>
            </w:pPr>
            <w:r>
              <w:rPr>
                <w:rFonts w:eastAsia="Calibri" w:cs="Calibri"/>
                <w:b/>
                <w:color w:val="FFFFFF"/>
                <w:sz w:val="17"/>
              </w:rPr>
              <w:t>Kayıt</w:t>
            </w:r>
          </w:p>
        </w:tc>
      </w:tr>
      <w:tr w:rsidR="001A4670">
        <w:trPr>
          <w:cantSplit/>
        </w:trPr>
        <w:tc>
          <w:tcPr>
            <w:tcW w:w="3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Yılın güçlü yönleri</w:t>
            </w:r>
          </w:p>
        </w:tc>
        <w:tc>
          <w:tcPr>
            <w:tcW w:w="62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3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Öncelikli gelişim alanları</w:t>
            </w:r>
          </w:p>
        </w:tc>
        <w:tc>
          <w:tcPr>
            <w:tcW w:w="62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w:t>
            </w:r>
          </w:p>
        </w:tc>
      </w:tr>
      <w:tr w:rsidR="001A4670">
        <w:trPr>
          <w:cantSplit/>
        </w:trPr>
        <w:tc>
          <w:tcPr>
            <w:tcW w:w="3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Sonraki yılın ilk üç önceliği</w:t>
            </w:r>
          </w:p>
        </w:tc>
        <w:tc>
          <w:tcPr>
            <w:tcW w:w="62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1) ………………  2) ………………  3) ………………</w:t>
            </w:r>
          </w:p>
        </w:tc>
      </w:tr>
      <w:tr w:rsidR="001A4670">
        <w:trPr>
          <w:cantSplit/>
        </w:trPr>
        <w:tc>
          <w:tcPr>
            <w:tcW w:w="320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İyileştirme sahibi ve termin</w:t>
            </w:r>
          </w:p>
        </w:tc>
        <w:tc>
          <w:tcPr>
            <w:tcW w:w="6280" w:type="dxa"/>
            <w:shd w:val="clear" w:color="auto" w:fill="F8FAFC"/>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Sorumlu ……………………………… / tarih ………………………………</w:t>
            </w:r>
          </w:p>
        </w:tc>
      </w:tr>
      <w:tr w:rsidR="001A4670">
        <w:trPr>
          <w:cantSplit/>
        </w:trPr>
        <w:tc>
          <w:tcPr>
            <w:tcW w:w="320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b/>
                <w:sz w:val="16"/>
              </w:rPr>
              <w:t>Dekanlık değerlendirmesi</w:t>
            </w:r>
          </w:p>
        </w:tc>
        <w:tc>
          <w:tcPr>
            <w:tcW w:w="6280" w:type="dxa"/>
            <w:tcMar>
              <w:top w:w="80" w:type="dxa"/>
              <w:left w:w="120" w:type="dxa"/>
              <w:bottom w:w="80" w:type="dxa"/>
              <w:right w:w="120" w:type="dxa"/>
            </w:tcMar>
            <w:vAlign w:val="center"/>
          </w:tcPr>
          <w:p w:rsidR="001A4670" w:rsidRDefault="00EF5986">
            <w:pPr>
              <w:spacing w:after="0" w:line="250" w:lineRule="auto"/>
              <w:jc w:val="left"/>
            </w:pPr>
            <w:r>
              <w:rPr>
                <w:rFonts w:eastAsia="Calibri" w:cs="Calibri"/>
                <w:sz w:val="16"/>
              </w:rPr>
              <w:t>Uygun / revizyon / ek eylem; açıklama ………………………………</w:t>
            </w:r>
          </w:p>
        </w:tc>
      </w:tr>
    </w:tbl>
    <w:p w:rsidR="00D52492" w:rsidRDefault="00D52492">
      <w:pPr>
        <w:spacing w:after="20"/>
      </w:pPr>
    </w:p>
    <w:p w:rsidR="00D52492" w:rsidRPr="00D52492" w:rsidRDefault="00D52492" w:rsidP="00D52492"/>
    <w:p w:rsidR="00D52492" w:rsidRPr="00D52492" w:rsidRDefault="00D52492" w:rsidP="00D52492"/>
    <w:p w:rsidR="00D52492" w:rsidRDefault="00D52492" w:rsidP="00D52492"/>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rPr>
          <w:rFonts w:ascii="Cambria" w:eastAsia="Cambria" w:hAnsi="Cambria" w:cs="Cambria"/>
          <w:b/>
          <w:color w:val="173A63"/>
          <w:sz w:val="24"/>
        </w:rPr>
      </w:pPr>
    </w:p>
    <w:p w:rsidR="00D52492" w:rsidRDefault="00D52492" w:rsidP="00D52492">
      <w:pPr>
        <w:spacing w:after="20"/>
        <w:jc w:val="center"/>
      </w:pPr>
      <w:r>
        <w:rPr>
          <w:rFonts w:ascii="Cambria" w:eastAsia="Cambria" w:hAnsi="Cambria" w:cs="Cambria"/>
          <w:b/>
          <w:color w:val="173A63"/>
          <w:sz w:val="24"/>
        </w:rPr>
        <w:t>T.C.</w:t>
      </w:r>
    </w:p>
    <w:p w:rsidR="00D52492" w:rsidRDefault="00D52492" w:rsidP="00D52492">
      <w:pPr>
        <w:spacing w:after="60"/>
        <w:jc w:val="center"/>
      </w:pPr>
      <w:r>
        <w:rPr>
          <w:rFonts w:ascii="Cambria" w:eastAsia="Cambria" w:hAnsi="Cambria" w:cs="Cambria"/>
          <w:b/>
          <w:color w:val="173A63"/>
          <w:sz w:val="30"/>
        </w:rPr>
        <w:t>GAZİANTEP ÜNİVERSİTESİ</w:t>
      </w:r>
    </w:p>
    <w:p w:rsidR="00D52492" w:rsidRDefault="00D52492" w:rsidP="00D52492">
      <w:pPr>
        <w:spacing w:after="360"/>
        <w:jc w:val="center"/>
      </w:pPr>
      <w:r>
        <w:rPr>
          <w:rFonts w:ascii="Cambria" w:eastAsia="Cambria" w:hAnsi="Cambria" w:cs="Cambria"/>
          <w:b/>
          <w:color w:val="173A63"/>
          <w:sz w:val="32"/>
        </w:rPr>
        <w:t>GÜZEL SANATLAR FAKÜLTESİ</w:t>
      </w:r>
    </w:p>
    <w:p w:rsidR="00D52492" w:rsidRDefault="00D52492" w:rsidP="00D52492">
      <w:pPr>
        <w:spacing w:after="20"/>
        <w:jc w:val="center"/>
      </w:pPr>
      <w:r>
        <w:rPr>
          <w:rFonts w:ascii="Cambria" w:eastAsia="Cambria" w:hAnsi="Cambria" w:cs="Cambria"/>
          <w:b/>
          <w:color w:val="173A63"/>
          <w:sz w:val="44"/>
        </w:rPr>
        <w:t>SANATSAL VE KÜLTÜREL</w:t>
      </w:r>
    </w:p>
    <w:p w:rsidR="00D52492" w:rsidRDefault="00D52492" w:rsidP="00D52492">
      <w:pPr>
        <w:spacing w:after="20"/>
        <w:jc w:val="center"/>
      </w:pPr>
      <w:r>
        <w:rPr>
          <w:rFonts w:ascii="Cambria" w:eastAsia="Cambria" w:hAnsi="Cambria" w:cs="Cambria"/>
          <w:b/>
          <w:color w:val="173A63"/>
          <w:sz w:val="44"/>
        </w:rPr>
        <w:t>FAALİYETLER KOMİSYONU</w:t>
      </w:r>
    </w:p>
    <w:p w:rsidR="00D52492" w:rsidRDefault="00D52492" w:rsidP="00D52492">
      <w:pPr>
        <w:spacing w:after="180"/>
        <w:jc w:val="center"/>
      </w:pPr>
      <w:r>
        <w:rPr>
          <w:rFonts w:ascii="Cambria" w:eastAsia="Cambria" w:hAnsi="Cambria" w:cs="Cambria"/>
          <w:b/>
          <w:color w:val="173A63"/>
          <w:sz w:val="44"/>
        </w:rPr>
        <w:t>YÖNERGESİ</w:t>
      </w:r>
    </w:p>
    <w:p w:rsidR="001A4670" w:rsidRPr="00D52492" w:rsidRDefault="001A4670" w:rsidP="00D52492">
      <w:pPr>
        <w:jc w:val="center"/>
      </w:pPr>
    </w:p>
    <w:sectPr w:rsidR="001A4670" w:rsidRPr="00D52492" w:rsidSect="00034616">
      <w:headerReference w:type="default" r:id="rId10"/>
      <w:footerReference w:type="default" r:id="rId11"/>
      <w:headerReference w:type="first" r:id="rId12"/>
      <w:footerReference w:type="first" r:id="rId13"/>
      <w:pgSz w:w="11906" w:h="16838"/>
      <w:pgMar w:top="1134" w:right="1134" w:bottom="1134" w:left="1134"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27B" w:rsidRDefault="0052327B">
      <w:pPr>
        <w:spacing w:after="0" w:line="240" w:lineRule="auto"/>
      </w:pPr>
      <w:r>
        <w:separator/>
      </w:r>
    </w:p>
  </w:endnote>
  <w:endnote w:type="continuationSeparator" w:id="0">
    <w:p w:rsidR="0052327B" w:rsidRDefault="00523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670" w:rsidRDefault="00EF5986">
    <w:pPr>
      <w:pStyle w:val="Altbilgi"/>
      <w:tabs>
        <w:tab w:val="right" w:pos="9638"/>
      </w:tabs>
    </w:pPr>
    <w:r>
      <w:rPr>
        <w:rFonts w:eastAsia="Calibri" w:cs="Calibri"/>
        <w:color w:val="667085"/>
        <w:sz w:val="15"/>
      </w:rPr>
      <w:t>GAÜN GSF • Sanatsal ve Kültürel Faaliyetler Komisyonu Yönergesi</w:t>
    </w:r>
    <w:r>
      <w:rPr>
        <w:rFonts w:eastAsia="Calibri" w:cs="Calibri"/>
        <w:color w:val="667085"/>
        <w:sz w:val="15"/>
      </w:rPr>
      <w:tab/>
    </w:r>
    <w:r>
      <w:rPr>
        <w:rFonts w:eastAsia="Calibri" w:cs="Calibri"/>
        <w:color w:val="667085"/>
        <w:sz w:val="15"/>
      </w:rPr>
      <w:fldChar w:fldCharType="begin"/>
    </w:r>
    <w:r>
      <w:rPr>
        <w:rFonts w:eastAsia="Calibri" w:cs="Calibri"/>
        <w:color w:val="667085"/>
        <w:sz w:val="15"/>
      </w:rPr>
      <w:instrText>PAGE</w:instrText>
    </w:r>
    <w:r>
      <w:rPr>
        <w:rFonts w:eastAsia="Calibri" w:cs="Calibri"/>
        <w:color w:val="667085"/>
        <w:sz w:val="15"/>
      </w:rPr>
      <w:fldChar w:fldCharType="separate"/>
    </w:r>
    <w:r w:rsidR="00A13C14">
      <w:rPr>
        <w:rFonts w:eastAsia="Calibri" w:cs="Calibri"/>
        <w:noProof/>
        <w:color w:val="667085"/>
        <w:sz w:val="15"/>
      </w:rPr>
      <w:t>22</w:t>
    </w:r>
    <w:r>
      <w:rPr>
        <w:rFonts w:eastAsia="Calibri" w:cs="Calibri"/>
        <w:color w:val="667085"/>
        <w:sz w:val="15"/>
      </w:rPr>
      <w:fldChar w:fldCharType="end"/>
    </w:r>
    <w:r>
      <w:rPr>
        <w:rFonts w:eastAsia="Calibri" w:cs="Calibri"/>
        <w:color w:val="667085"/>
        <w:sz w:val="15"/>
      </w:rPr>
      <w:t xml:space="preserve"> / </w:t>
    </w:r>
    <w:r>
      <w:rPr>
        <w:rFonts w:eastAsia="Calibri" w:cs="Calibri"/>
        <w:color w:val="667085"/>
        <w:sz w:val="15"/>
      </w:rPr>
      <w:fldChar w:fldCharType="begin"/>
    </w:r>
    <w:r>
      <w:rPr>
        <w:rFonts w:eastAsia="Calibri" w:cs="Calibri"/>
        <w:color w:val="667085"/>
        <w:sz w:val="15"/>
      </w:rPr>
      <w:instrText>NUMPAGES</w:instrText>
    </w:r>
    <w:r>
      <w:rPr>
        <w:rFonts w:eastAsia="Calibri" w:cs="Calibri"/>
        <w:color w:val="667085"/>
        <w:sz w:val="15"/>
      </w:rPr>
      <w:fldChar w:fldCharType="separate"/>
    </w:r>
    <w:r w:rsidR="00A13C14">
      <w:rPr>
        <w:rFonts w:eastAsia="Calibri" w:cs="Calibri"/>
        <w:noProof/>
        <w:color w:val="667085"/>
        <w:sz w:val="15"/>
      </w:rPr>
      <w:t>22</w:t>
    </w:r>
    <w:r>
      <w:rPr>
        <w:rFonts w:eastAsia="Calibri" w:cs="Calibri"/>
        <w:color w:val="667085"/>
        <w:sz w:val="1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670" w:rsidRDefault="00EF5986">
    <w:pPr>
      <w:pStyle w:val="Altbilgi"/>
      <w:jc w:val="center"/>
    </w:pPr>
    <w:r>
      <w:rPr>
        <w:rFonts w:eastAsia="Calibri" w:cs="Calibri"/>
        <w:color w:val="667085"/>
        <w:sz w:val="16"/>
      </w:rPr>
      <w:t>GAÜN Güzel Sanatlar Fakültesi • Kurumsal Yönerge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27B" w:rsidRDefault="0052327B">
      <w:pPr>
        <w:spacing w:after="0" w:line="240" w:lineRule="auto"/>
      </w:pPr>
      <w:r>
        <w:separator/>
      </w:r>
    </w:p>
  </w:footnote>
  <w:footnote w:type="continuationSeparator" w:id="0">
    <w:p w:rsidR="0052327B" w:rsidRDefault="005232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670" w:rsidRDefault="00EF5986">
    <w:pPr>
      <w:pStyle w:val="stbilgi"/>
      <w:pBdr>
        <w:bottom w:val="single" w:sz="5" w:space="3" w:color="D5DBE3"/>
      </w:pBdr>
      <w:tabs>
        <w:tab w:val="right" w:pos="9638"/>
      </w:tabs>
    </w:pPr>
    <w:r>
      <w:rPr>
        <w:rFonts w:eastAsia="Calibri" w:cs="Calibri"/>
        <w:b/>
        <w:color w:val="667085"/>
        <w:sz w:val="16"/>
      </w:rPr>
      <w:t>GAÜN GÜZEL SANATLAR FAKÜLTESİ</w:t>
    </w:r>
    <w:r>
      <w:rPr>
        <w:rFonts w:eastAsia="Calibri" w:cs="Calibri"/>
        <w:color w:val="667085"/>
        <w:sz w:val="15"/>
      </w:rPr>
      <w:tab/>
      <w:t>SANATSAL VE KÜLTÜREL FAALİYETLER KOMİSYONU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670" w:rsidRDefault="001A4670">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lvlText w:val="%1."/>
      <w:lvlJc w:val="left"/>
      <w:pPr>
        <w:tabs>
          <w:tab w:val="num" w:pos="1080"/>
        </w:tabs>
        <w:ind w:left="1080" w:hanging="360"/>
      </w:pPr>
    </w:lvl>
  </w:abstractNum>
  <w:abstractNum w:abstractNumId="3">
    <w:nsid w:val="FFFFFF7F"/>
    <w:multiLevelType w:val="singleLevel"/>
    <w:tmpl w:val="38441652"/>
    <w:lvl w:ilvl="0">
      <w:start w:val="1"/>
      <w:numFmt w:val="decimal"/>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lvlText w:val="%1."/>
      <w:lvlJc w:val="left"/>
      <w:pPr>
        <w:tabs>
          <w:tab w:val="num" w:pos="360"/>
        </w:tabs>
        <w:ind w:left="360" w:hanging="360"/>
      </w:pPr>
    </w:lvl>
  </w:abstractNum>
  <w:abstractNum w:abstractNumId="8">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nsid w:val="475D7DC5"/>
    <w:multiLevelType w:val="singleLevel"/>
    <w:tmpl w:val="8E8CFFA0"/>
    <w:lvl w:ilvl="0">
      <w:start w:val="1"/>
      <w:numFmt w:val="bullet"/>
      <w:lvlText w:val="•"/>
      <w:lvlJc w:val="left"/>
      <w:pPr>
        <w:tabs>
          <w:tab w:val="num" w:pos="720"/>
        </w:tabs>
        <w:spacing w:after="120" w:line="264" w:lineRule="auto"/>
        <w:ind w:left="720" w:hanging="360"/>
      </w:pPr>
      <w:rPr>
        <w:rFonts w:ascii="Calibri" w:hAnsi="Calibri"/>
      </w:rPr>
    </w:lvl>
  </w:abstractNum>
  <w:abstractNum w:abstractNumId="10">
    <w:nsid w:val="5DEA291C"/>
    <w:multiLevelType w:val="singleLevel"/>
    <w:tmpl w:val="C7721CA0"/>
    <w:lvl w:ilvl="0">
      <w:start w:val="1"/>
      <w:numFmt w:val="decimal"/>
      <w:lvlText w:val="(%1)"/>
      <w:lvlJc w:val="left"/>
      <w:pPr>
        <w:tabs>
          <w:tab w:val="num" w:pos="520"/>
        </w:tabs>
        <w:spacing w:after="120" w:line="264" w:lineRule="auto"/>
        <w:ind w:left="520" w:hanging="400"/>
      </w:pPr>
      <w:rPr>
        <w:rFonts w:ascii="Calibri" w:hAnsi="Calibri"/>
      </w:rPr>
    </w:lvl>
  </w:abstractNum>
  <w:num w:numId="1">
    <w:abstractNumId w:val="9"/>
    <w:lvlOverride w:ilvl="0">
      <w:startOverride w:val="1"/>
    </w:lvlOverride>
  </w:num>
  <w:num w:numId="2">
    <w:abstractNumId w:val="10"/>
    <w:lvlOverride w:ilvl="0">
      <w:startOverride w:val="1"/>
    </w:lvlOverride>
  </w:num>
  <w:num w:numId="3">
    <w:abstractNumId w:val="10"/>
    <w:lvlOverride w:ilvl="0">
      <w:startOverride w:val="1"/>
    </w:lvlOverride>
  </w:num>
  <w:num w:numId="4">
    <w:abstractNumId w:val="10"/>
    <w:lvlOverride w:ilvl="0">
      <w:startOverride w:val="1"/>
    </w:lvlOverride>
  </w:num>
  <w:num w:numId="5">
    <w:abstractNumId w:val="10"/>
    <w:lvlOverride w:ilvl="0">
      <w:startOverride w:val="1"/>
    </w:lvlOverride>
  </w:num>
  <w:num w:numId="6">
    <w:abstractNumId w:val="10"/>
    <w:lvlOverride w:ilvl="0">
      <w:startOverride w:val="1"/>
    </w:lvlOverride>
  </w:num>
  <w:num w:numId="7">
    <w:abstractNumId w:val="10"/>
    <w:lvlOverride w:ilvl="0">
      <w:startOverride w:val="1"/>
    </w:lvlOverride>
  </w:num>
  <w:num w:numId="8">
    <w:abstractNumId w:val="10"/>
    <w:lvlOverride w:ilvl="0">
      <w:startOverride w:val="1"/>
    </w:lvlOverride>
  </w:num>
  <w:num w:numId="9">
    <w:abstractNumId w:val="10"/>
    <w:lvlOverride w:ilvl="0">
      <w:startOverride w:val="1"/>
    </w:lvlOverride>
  </w:num>
  <w:num w:numId="10">
    <w:abstractNumId w:val="10"/>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10"/>
    <w:lvlOverride w:ilvl="0">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lvlOverride w:ilvl="0">
      <w:startOverride w:val="1"/>
    </w:lvlOverride>
  </w:num>
  <w:num w:numId="31">
    <w:abstractNumId w:val="10"/>
    <w:lvlOverride w:ilvl="0">
      <w:startOverride w:val="1"/>
    </w:lvlOverride>
  </w:num>
  <w:num w:numId="32">
    <w:abstractNumId w:val="10"/>
    <w:lvlOverride w:ilvl="0">
      <w:startOverride w:val="1"/>
    </w:lvlOverride>
  </w:num>
  <w:num w:numId="33">
    <w:abstractNumId w:val="10"/>
    <w:lvlOverride w:ilvl="0">
      <w:startOverride w:val="1"/>
    </w:lvlOverride>
  </w:num>
  <w:num w:numId="34">
    <w:abstractNumId w:val="10"/>
    <w:lvlOverride w:ilvl="0">
      <w:startOverride w:val="1"/>
    </w:lvlOverride>
  </w:num>
  <w:num w:numId="35">
    <w:abstractNumId w:val="10"/>
    <w:lvlOverride w:ilvl="0">
      <w:startOverride w:val="1"/>
    </w:lvlOverride>
  </w:num>
  <w:num w:numId="36">
    <w:abstractNumId w:val="10"/>
    <w:lvlOverride w:ilvl="0">
      <w:startOverride w:val="1"/>
    </w:lvlOverride>
  </w:num>
  <w:num w:numId="37">
    <w:abstractNumId w:val="10"/>
    <w:lvlOverride w:ilvl="0">
      <w:startOverride w:val="1"/>
    </w:lvlOverride>
  </w:num>
  <w:num w:numId="38">
    <w:abstractNumId w:val="10"/>
    <w:lvlOverride w:ilvl="0">
      <w:startOverride w:val="1"/>
    </w:lvlOverride>
  </w:num>
  <w:num w:numId="39">
    <w:abstractNumId w:val="10"/>
    <w:lvlOverride w:ilvl="0">
      <w:startOverride w:val="1"/>
    </w:lvlOverride>
  </w:num>
  <w:num w:numId="40">
    <w:abstractNumId w:val="10"/>
    <w:lvlOverride w:ilvl="0">
      <w:startOverride w:val="1"/>
    </w:lvlOverride>
  </w:num>
  <w:num w:numId="41">
    <w:abstractNumId w:val="10"/>
    <w:lvlOverride w:ilvl="0">
      <w:startOverride w:val="1"/>
    </w:lvlOverride>
  </w:num>
  <w:num w:numId="42">
    <w:abstractNumId w:val="10"/>
    <w:lvlOverride w:ilvl="0">
      <w:startOverride w:val="1"/>
    </w:lvlOverride>
  </w:num>
  <w:num w:numId="43">
    <w:abstractNumId w:val="10"/>
    <w:lvlOverride w:ilvl="0">
      <w:startOverride w:val="1"/>
    </w:lvlOverride>
  </w:num>
  <w:num w:numId="44">
    <w:abstractNumId w:val="10"/>
    <w:lvlOverride w:ilvl="0">
      <w:startOverride w:val="1"/>
    </w:lvlOverride>
  </w:num>
  <w:num w:numId="45">
    <w:abstractNumId w:val="10"/>
    <w:lvlOverride w:ilvl="0">
      <w:startOverride w:val="1"/>
    </w:lvlOverride>
  </w:num>
  <w:num w:numId="46">
    <w:abstractNumId w:val="10"/>
    <w:lvlOverride w:ilvl="0">
      <w:startOverride w:val="1"/>
    </w:lvlOverride>
  </w:num>
  <w:num w:numId="47">
    <w:abstractNumId w:val="10"/>
    <w:lvlOverride w:ilvl="0">
      <w:startOverride w:val="1"/>
    </w:lvlOverride>
  </w:num>
  <w:num w:numId="48">
    <w:abstractNumId w:val="10"/>
    <w:lvlOverride w:ilvl="0">
      <w:startOverride w:val="1"/>
    </w:lvlOverride>
  </w:num>
  <w:num w:numId="49">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A4670"/>
    <w:rsid w:val="0029639D"/>
    <w:rsid w:val="00326F90"/>
    <w:rsid w:val="0052327B"/>
    <w:rsid w:val="007F21AC"/>
    <w:rsid w:val="00A13C14"/>
    <w:rsid w:val="00AA1D8D"/>
    <w:rsid w:val="00B47730"/>
    <w:rsid w:val="00CB0664"/>
    <w:rsid w:val="00D52492"/>
    <w:rsid w:val="00EF59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jc w:val="both"/>
    </w:pPr>
    <w:rPr>
      <w:rFonts w:ascii="Calibri" w:hAnsi="Calibri"/>
      <w:color w:val="111827"/>
    </w:rPr>
  </w:style>
  <w:style w:type="paragraph" w:styleId="Balk1">
    <w:name w:val="heading 1"/>
    <w:basedOn w:val="Normal"/>
    <w:next w:val="Normal"/>
    <w:link w:val="Balk1Char"/>
    <w:uiPriority w:val="9"/>
    <w:qFormat/>
    <w:rsid w:val="00FC693F"/>
    <w:pPr>
      <w:keepNext/>
      <w:keepLines/>
      <w:spacing w:before="320" w:after="160"/>
      <w:jc w:val="left"/>
      <w:outlineLvl w:val="0"/>
    </w:pPr>
    <w:rPr>
      <w:rFonts w:asciiTheme="majorHAnsi" w:eastAsiaTheme="majorEastAsia" w:hAnsiTheme="majorHAnsi" w:cstheme="majorBidi"/>
      <w:b/>
      <w:bCs/>
      <w:color w:val="2F5597"/>
      <w:sz w:val="32"/>
      <w:szCs w:val="28"/>
    </w:rPr>
  </w:style>
  <w:style w:type="paragraph" w:styleId="Balk2">
    <w:name w:val="heading 2"/>
    <w:basedOn w:val="Normal"/>
    <w:next w:val="Normal"/>
    <w:link w:val="Balk2Char"/>
    <w:uiPriority w:val="9"/>
    <w:unhideWhenUsed/>
    <w:qFormat/>
    <w:rsid w:val="00FC693F"/>
    <w:pPr>
      <w:keepNext/>
      <w:keepLines/>
      <w:spacing w:before="180" w:after="80"/>
      <w:jc w:val="left"/>
      <w:outlineLvl w:val="1"/>
    </w:pPr>
    <w:rPr>
      <w:rFonts w:asciiTheme="majorHAnsi" w:eastAsiaTheme="majorEastAsia" w:hAnsiTheme="majorHAnsi" w:cstheme="majorBidi"/>
      <w:b/>
      <w:bCs/>
      <w:color w:val="173A63"/>
      <w:sz w:val="24"/>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tabs>
        <w:tab w:val="num" w:pos="720"/>
      </w:tabs>
      <w:ind w:left="720" w:hanging="360"/>
      <w:contextualSpacing/>
    </w:pPr>
  </w:style>
  <w:style w:type="paragraph" w:styleId="ListeMaddemi2">
    <w:name w:val="List Bullet 2"/>
    <w:basedOn w:val="Normal"/>
    <w:uiPriority w:val="99"/>
    <w:unhideWhenUsed/>
    <w:rsid w:val="00326F90"/>
    <w:pPr>
      <w:tabs>
        <w:tab w:val="num" w:pos="520"/>
      </w:tabs>
      <w:ind w:left="520" w:hanging="400"/>
      <w:contextualSpacing/>
    </w:pPr>
  </w:style>
  <w:style w:type="paragraph" w:styleId="ListeMaddemi3">
    <w:name w:val="List Bullet 3"/>
    <w:basedOn w:val="Normal"/>
    <w:uiPriority w:val="99"/>
    <w:unhideWhenUsed/>
    <w:rsid w:val="00326F90"/>
    <w:pPr>
      <w:tabs>
        <w:tab w:val="num" w:pos="520"/>
      </w:tabs>
      <w:ind w:left="520" w:hanging="400"/>
      <w:contextualSpacing/>
    </w:pPr>
  </w:style>
  <w:style w:type="paragraph" w:styleId="ListeNumaras">
    <w:name w:val="List Number"/>
    <w:basedOn w:val="Normal"/>
    <w:uiPriority w:val="99"/>
    <w:unhideWhenUsed/>
    <w:rsid w:val="00326F90"/>
    <w:pPr>
      <w:tabs>
        <w:tab w:val="num" w:pos="520"/>
      </w:tabs>
      <w:ind w:left="520" w:hanging="400"/>
      <w:contextualSpacing/>
    </w:pPr>
  </w:style>
  <w:style w:type="paragraph" w:styleId="ListeNumaras2">
    <w:name w:val="List Number 2"/>
    <w:basedOn w:val="Normal"/>
    <w:uiPriority w:val="99"/>
    <w:unhideWhenUsed/>
    <w:rsid w:val="0029639D"/>
    <w:pPr>
      <w:tabs>
        <w:tab w:val="num" w:pos="520"/>
      </w:tabs>
      <w:ind w:left="520" w:hanging="400"/>
      <w:contextualSpacing/>
    </w:pPr>
  </w:style>
  <w:style w:type="paragraph" w:styleId="ListeNumaras3">
    <w:name w:val="List Number 3"/>
    <w:basedOn w:val="Normal"/>
    <w:uiPriority w:val="99"/>
    <w:unhideWhenUsed/>
    <w:rsid w:val="0029639D"/>
    <w:pPr>
      <w:tabs>
        <w:tab w:val="num" w:pos="520"/>
      </w:tabs>
      <w:ind w:left="520" w:hanging="400"/>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Clause">
    <w:name w:val="Legal Clause"/>
    <w:basedOn w:val="Normal"/>
  </w:style>
  <w:style w:type="paragraph" w:customStyle="1" w:styleId="LegalBullet">
    <w:name w:val="Legal Bullet"/>
    <w:basedOn w:val="Normal"/>
    <w:pPr>
      <w:spacing w:after="100"/>
    </w:pPr>
    <w:rPr>
      <w:sz w:val="21"/>
    </w:rPr>
  </w:style>
  <w:style w:type="paragraph" w:customStyle="1" w:styleId="TableCaption">
    <w:name w:val="Table Caption"/>
    <w:basedOn w:val="Normal"/>
    <w:pPr>
      <w:keepNext/>
      <w:spacing w:before="160" w:after="80"/>
    </w:pPr>
    <w:rPr>
      <w:b/>
      <w:color w:val="173A63"/>
      <w:sz w:val="21"/>
    </w:rPr>
  </w:style>
  <w:style w:type="paragraph" w:customStyle="1" w:styleId="SmallNote">
    <w:name w:val="Small Note"/>
    <w:basedOn w:val="Normal"/>
    <w:pPr>
      <w:spacing w:after="80"/>
    </w:pPr>
    <w:rPr>
      <w:color w:val="667085"/>
      <w:sz w:val="18"/>
    </w:rPr>
  </w:style>
  <w:style w:type="paragraph" w:styleId="BalonMetni">
    <w:name w:val="Balloon Text"/>
    <w:basedOn w:val="Normal"/>
    <w:link w:val="BalonMetniChar"/>
    <w:uiPriority w:val="99"/>
    <w:semiHidden/>
    <w:unhideWhenUsed/>
    <w:rsid w:val="007F21A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F21AC"/>
    <w:rPr>
      <w:rFonts w:ascii="Tahoma" w:hAnsi="Tahoma" w:cs="Tahoma"/>
      <w:color w:val="111827"/>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jc w:val="both"/>
    </w:pPr>
    <w:rPr>
      <w:rFonts w:ascii="Calibri" w:hAnsi="Calibri"/>
      <w:color w:val="111827"/>
    </w:rPr>
  </w:style>
  <w:style w:type="paragraph" w:styleId="Balk1">
    <w:name w:val="heading 1"/>
    <w:basedOn w:val="Normal"/>
    <w:next w:val="Normal"/>
    <w:link w:val="Balk1Char"/>
    <w:uiPriority w:val="9"/>
    <w:qFormat/>
    <w:rsid w:val="00FC693F"/>
    <w:pPr>
      <w:keepNext/>
      <w:keepLines/>
      <w:spacing w:before="320" w:after="160"/>
      <w:jc w:val="left"/>
      <w:outlineLvl w:val="0"/>
    </w:pPr>
    <w:rPr>
      <w:rFonts w:asciiTheme="majorHAnsi" w:eastAsiaTheme="majorEastAsia" w:hAnsiTheme="majorHAnsi" w:cstheme="majorBidi"/>
      <w:b/>
      <w:bCs/>
      <w:color w:val="2F5597"/>
      <w:sz w:val="32"/>
      <w:szCs w:val="28"/>
    </w:rPr>
  </w:style>
  <w:style w:type="paragraph" w:styleId="Balk2">
    <w:name w:val="heading 2"/>
    <w:basedOn w:val="Normal"/>
    <w:next w:val="Normal"/>
    <w:link w:val="Balk2Char"/>
    <w:uiPriority w:val="9"/>
    <w:unhideWhenUsed/>
    <w:qFormat/>
    <w:rsid w:val="00FC693F"/>
    <w:pPr>
      <w:keepNext/>
      <w:keepLines/>
      <w:spacing w:before="180" w:after="80"/>
      <w:jc w:val="left"/>
      <w:outlineLvl w:val="1"/>
    </w:pPr>
    <w:rPr>
      <w:rFonts w:asciiTheme="majorHAnsi" w:eastAsiaTheme="majorEastAsia" w:hAnsiTheme="majorHAnsi" w:cstheme="majorBidi"/>
      <w:b/>
      <w:bCs/>
      <w:color w:val="173A63"/>
      <w:sz w:val="24"/>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tabs>
        <w:tab w:val="num" w:pos="720"/>
      </w:tabs>
      <w:ind w:left="720" w:hanging="360"/>
      <w:contextualSpacing/>
    </w:pPr>
  </w:style>
  <w:style w:type="paragraph" w:styleId="ListeMaddemi2">
    <w:name w:val="List Bullet 2"/>
    <w:basedOn w:val="Normal"/>
    <w:uiPriority w:val="99"/>
    <w:unhideWhenUsed/>
    <w:rsid w:val="00326F90"/>
    <w:pPr>
      <w:tabs>
        <w:tab w:val="num" w:pos="520"/>
      </w:tabs>
      <w:ind w:left="520" w:hanging="400"/>
      <w:contextualSpacing/>
    </w:pPr>
  </w:style>
  <w:style w:type="paragraph" w:styleId="ListeMaddemi3">
    <w:name w:val="List Bullet 3"/>
    <w:basedOn w:val="Normal"/>
    <w:uiPriority w:val="99"/>
    <w:unhideWhenUsed/>
    <w:rsid w:val="00326F90"/>
    <w:pPr>
      <w:tabs>
        <w:tab w:val="num" w:pos="520"/>
      </w:tabs>
      <w:ind w:left="520" w:hanging="400"/>
      <w:contextualSpacing/>
    </w:pPr>
  </w:style>
  <w:style w:type="paragraph" w:styleId="ListeNumaras">
    <w:name w:val="List Number"/>
    <w:basedOn w:val="Normal"/>
    <w:uiPriority w:val="99"/>
    <w:unhideWhenUsed/>
    <w:rsid w:val="00326F90"/>
    <w:pPr>
      <w:tabs>
        <w:tab w:val="num" w:pos="520"/>
      </w:tabs>
      <w:ind w:left="520" w:hanging="400"/>
      <w:contextualSpacing/>
    </w:pPr>
  </w:style>
  <w:style w:type="paragraph" w:styleId="ListeNumaras2">
    <w:name w:val="List Number 2"/>
    <w:basedOn w:val="Normal"/>
    <w:uiPriority w:val="99"/>
    <w:unhideWhenUsed/>
    <w:rsid w:val="0029639D"/>
    <w:pPr>
      <w:tabs>
        <w:tab w:val="num" w:pos="520"/>
      </w:tabs>
      <w:ind w:left="520" w:hanging="400"/>
      <w:contextualSpacing/>
    </w:pPr>
  </w:style>
  <w:style w:type="paragraph" w:styleId="ListeNumaras3">
    <w:name w:val="List Number 3"/>
    <w:basedOn w:val="Normal"/>
    <w:uiPriority w:val="99"/>
    <w:unhideWhenUsed/>
    <w:rsid w:val="0029639D"/>
    <w:pPr>
      <w:tabs>
        <w:tab w:val="num" w:pos="520"/>
      </w:tabs>
      <w:ind w:left="520" w:hanging="400"/>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Clause">
    <w:name w:val="Legal Clause"/>
    <w:basedOn w:val="Normal"/>
  </w:style>
  <w:style w:type="paragraph" w:customStyle="1" w:styleId="LegalBullet">
    <w:name w:val="Legal Bullet"/>
    <w:basedOn w:val="Normal"/>
    <w:pPr>
      <w:spacing w:after="100"/>
    </w:pPr>
    <w:rPr>
      <w:sz w:val="21"/>
    </w:rPr>
  </w:style>
  <w:style w:type="paragraph" w:customStyle="1" w:styleId="TableCaption">
    <w:name w:val="Table Caption"/>
    <w:basedOn w:val="Normal"/>
    <w:pPr>
      <w:keepNext/>
      <w:spacing w:before="160" w:after="80"/>
    </w:pPr>
    <w:rPr>
      <w:b/>
      <w:color w:val="173A63"/>
      <w:sz w:val="21"/>
    </w:rPr>
  </w:style>
  <w:style w:type="paragraph" w:customStyle="1" w:styleId="SmallNote">
    <w:name w:val="Small Note"/>
    <w:basedOn w:val="Normal"/>
    <w:pPr>
      <w:spacing w:after="80"/>
    </w:pPr>
    <w:rPr>
      <w:color w:val="667085"/>
      <w:sz w:val="18"/>
    </w:rPr>
  </w:style>
  <w:style w:type="paragraph" w:styleId="BalonMetni">
    <w:name w:val="Balloon Text"/>
    <w:basedOn w:val="Normal"/>
    <w:link w:val="BalonMetniChar"/>
    <w:uiPriority w:val="99"/>
    <w:semiHidden/>
    <w:unhideWhenUsed/>
    <w:rsid w:val="007F21A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F21AC"/>
    <w:rPr>
      <w:rFonts w:ascii="Tahoma" w:hAnsi="Tahoma" w:cs="Tahoma"/>
      <w:color w:val="111827"/>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2E380-B47E-48E7-A36D-B17777294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7088</Words>
  <Characters>40407</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47401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GAÜN GSF Sanatsal ve Kültürel Faaliyetler Komisyonu Yönergesi</dc:title>
  <dc:subject>Sanatsal ve kültürel faaliyetlerin planlanması, koordinasyonu, SBK uyumu ve sınav takvimi koruması</dc:subject>
  <dc:creator>Gaziantep Üniversitesi Güzel Sanatlar Fakültesi</dc:creator>
  <cp:keywords>GAÜN, GSF, sanat, kültür, komisyon, SBK, sınav takvimi</cp:keywords>
  <dc:description>generated by python-docx</dc:description>
  <cp:lastModifiedBy>Erdinc</cp:lastModifiedBy>
  <cp:revision>6</cp:revision>
  <dcterms:created xsi:type="dcterms:W3CDTF">2013-12-23T23:15:00Z</dcterms:created>
  <dcterms:modified xsi:type="dcterms:W3CDTF">2026-08-17T09:43:00Z</dcterms:modified>
  <cp:category/>
</cp:coreProperties>
</file>