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9AB" w:rsidRDefault="001039AB">
      <w:pPr>
        <w:rPr>
          <w:rFonts w:hint="eastAsia"/>
        </w:rPr>
      </w:pPr>
    </w:p>
    <w:p w:rsidR="001039AB" w:rsidRDefault="001039AB">
      <w:pPr>
        <w:rPr>
          <w:rFonts w:hint="eastAsia"/>
        </w:rPr>
      </w:pPr>
    </w:p>
    <w:p w:rsidR="001039AB" w:rsidRDefault="001039AB">
      <w:pPr>
        <w:rPr>
          <w:rFonts w:hint="eastAsia"/>
        </w:rPr>
      </w:pPr>
    </w:p>
    <w:p w:rsidR="001039AB" w:rsidRDefault="001152A6">
      <w:pPr>
        <w:rPr>
          <w:rFonts w:hint="eastAsia"/>
        </w:rPr>
      </w:pPr>
      <w:r>
        <w:rPr>
          <w:b/>
          <w:color w:val="A78655"/>
          <w:sz w:val="16"/>
        </w:rPr>
        <w:t>2026-2029</w:t>
      </w:r>
    </w:p>
    <w:p w:rsidR="001039AB" w:rsidRDefault="001152A6">
      <w:pPr>
        <w:rPr>
          <w:rFonts w:hint="eastAsia"/>
        </w:rPr>
      </w:pPr>
      <w:r>
        <w:rPr>
          <w:rFonts w:ascii="Aptos Display" w:hAnsi="Aptos Display"/>
          <w:b/>
          <w:color w:val="18212B"/>
          <w:sz w:val="68"/>
        </w:rPr>
        <w:t>STRATEJİK</w:t>
      </w:r>
      <w:r>
        <w:rPr>
          <w:rFonts w:ascii="Aptos Display" w:hAnsi="Aptos Display"/>
          <w:b/>
          <w:color w:val="18212B"/>
          <w:sz w:val="68"/>
        </w:rPr>
        <w:br/>
        <w:t>GELİŞİM VE</w:t>
      </w:r>
      <w:r>
        <w:rPr>
          <w:rFonts w:ascii="Aptos Display" w:hAnsi="Aptos Display"/>
          <w:b/>
          <w:color w:val="18212B"/>
          <w:sz w:val="68"/>
        </w:rPr>
        <w:br/>
        <w:t>UYGULAMA PLANI</w:t>
      </w:r>
    </w:p>
    <w:p w:rsidR="001039AB" w:rsidRDefault="001152A6">
      <w:pPr>
        <w:rPr>
          <w:rFonts w:hint="eastAsia"/>
        </w:rPr>
      </w:pPr>
      <w:r>
        <w:rPr>
          <w:b/>
          <w:color w:val="A78655"/>
          <w:sz w:val="25"/>
        </w:rPr>
        <w:t>GAZİANTEP ÜNİVERSİTESİ</w:t>
      </w:r>
      <w:r>
        <w:rPr>
          <w:b/>
          <w:color w:val="A78655"/>
          <w:sz w:val="25"/>
        </w:rPr>
        <w:br/>
        <w:t>GÜZEL SANATLAR FAKÜLTESİ</w:t>
      </w:r>
    </w:p>
    <w:p w:rsidR="001039AB" w:rsidRDefault="001039AB">
      <w:pPr>
        <w:rPr>
          <w:rFonts w:hint="eastAsia"/>
        </w:rPr>
      </w:pP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374"/>
        <w:gridCol w:w="9416"/>
      </w:tblGrid>
      <w:tr w:rsidR="001039AB" w:rsidTr="005C5408">
        <w:trPr>
          <w:trHeight w:val="780"/>
          <w:jc w:val="center"/>
        </w:trPr>
        <w:tc>
          <w:tcPr>
            <w:tcW w:w="374"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941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BELGENIN KONUMU</w:t>
            </w:r>
            <w:r>
              <w:rPr>
                <w:b/>
                <w:color w:val="A78655"/>
                <w:sz w:val="17"/>
              </w:rPr>
              <w:br/>
            </w:r>
            <w:r w:rsidRPr="005C5408">
              <w:rPr>
                <w:b/>
                <w:color w:val="18212B"/>
                <w:szCs w:val="18"/>
              </w:rPr>
              <w:t>GAÜN 2025-2029 Stratejik Planının fakülte düzeyindeki uygulama, derinleştirme, ölçme ve sürekli iyileştirme çerçevesi.</w:t>
            </w:r>
          </w:p>
        </w:tc>
      </w:tr>
    </w:tbl>
    <w:p w:rsidR="001039AB" w:rsidRDefault="001152A6">
      <w:pPr>
        <w:jc w:val="right"/>
        <w:rPr>
          <w:rFonts w:hint="eastAsia"/>
        </w:rPr>
      </w:pPr>
      <w:r>
        <w:br/>
      </w:r>
      <w:r>
        <w:rPr>
          <w:b/>
          <w:color w:val="66707A"/>
          <w:sz w:val="17"/>
        </w:rPr>
        <w:t>AĞUSTOS 2026  •  TAM TASLAK</w:t>
      </w:r>
    </w:p>
    <w:p w:rsidR="001039AB" w:rsidRDefault="005C5408">
      <w:pPr>
        <w:pStyle w:val="Balk1"/>
      </w:pPr>
      <w:r>
        <w:t xml:space="preserve">   </w:t>
      </w:r>
      <w:proofErr w:type="spellStart"/>
      <w:r w:rsidR="001152A6">
        <w:t>İçindekiler</w:t>
      </w:r>
      <w:proofErr w:type="spellEnd"/>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7"/>
              </w:rPr>
              <w:t>Bölüm</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7"/>
              </w:rPr>
              <w:t>Başlık</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01</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Dekan Sunuşu</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02</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Yönetici Özeti ve Bir Bakışta Plan</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03</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Stratejik Plan Hazırlık ve Yöntem</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04</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Kurumsal Konum ve Üst Planla Uyum</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04A</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Kurumsal Yönetişim ve Organizasyon Yapısı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05</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Durum Analizi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06</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Paydaş ve Öğrenci Deneyimi Analizi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07</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İnsan Kaynağı, Eğitim Alanları ve Teknoloji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08</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Akademik Faaliyetler ve Sanatsal Üretim</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09</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Yükseköğretim, Yaratıcı Endüstriler ve Gelecek Eğilimleri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10</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GZFT, Tespitler ve İhtiyaçlar</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11</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Geleceğe Bakış: Misyon, Vizyon, Değerler</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12</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GSF Farklılaşma Stratejisi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13</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A1 - Araştırma ve Yenilikçilik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14</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A3 - Yaratıcı Endüstriler ve Dış Paydaş İşbirliği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15</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A4 - Nitelikli Eğitim</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16</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A5 - Kurumsallaşma ve Kurum Kültürü</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17</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Yatay Dönüşüm: Yapay Zekâ ve Yaratıcı Teknolojiler</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18</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Yatay Dönüşüm: Etik, Erişilebilirlik ve Sürdürülebilirlik</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19</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Risk ve Kontrol Çerçevesi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lastRenderedPageBreak/>
              <w:t>20</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Kaynak ve Maliyetlendirme Yaklaşımı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21</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İzleme, Değerlendirme ve PUKÖ</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22</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2026-2029 Yol Haritası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23</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7"/>
              </w:rPr>
              <w:t>Gösterge Sözlüğü</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24</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7"/>
              </w:rPr>
              <w:t>Ekler ve Kaynaklar</w:t>
            </w:r>
          </w:p>
        </w:tc>
      </w:tr>
    </w:tbl>
    <w:p w:rsidR="001039AB" w:rsidRDefault="001152A6">
      <w:pPr>
        <w:spacing w:before="100" w:after="20"/>
        <w:rPr>
          <w:rFonts w:hint="eastAsia"/>
        </w:rPr>
      </w:pPr>
      <w:r>
        <w:rPr>
          <w:b/>
          <w:color w:val="5C6F88"/>
          <w:sz w:val="15"/>
        </w:rPr>
        <w:t>01 / SUNUŞ</w:t>
      </w:r>
    </w:p>
    <w:p w:rsidR="001039AB" w:rsidRDefault="001152A6">
      <w:pPr>
        <w:pStyle w:val="Balk1"/>
      </w:pPr>
      <w:r>
        <w:t>Dekan Sunuşu</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300"/>
        <w:gridCol w:w="7565"/>
      </w:tblGrid>
      <w:tr w:rsidR="001039AB" w:rsidTr="005C5408">
        <w:trPr>
          <w:trHeight w:val="562"/>
          <w:jc w:val="center"/>
        </w:trPr>
        <w:tc>
          <w:tcPr>
            <w:tcW w:w="300"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7565"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ANA YAKLAŞIM</w:t>
            </w:r>
            <w:r>
              <w:rPr>
                <w:b/>
                <w:color w:val="A78655"/>
                <w:sz w:val="17"/>
              </w:rPr>
              <w:br/>
            </w:r>
            <w:r>
              <w:rPr>
                <w:b/>
                <w:color w:val="18212B"/>
                <w:sz w:val="15"/>
              </w:rPr>
              <w:t>Sanat eğitiminin geleceğini kurmak; geçmişi korumakla geleceğe hazırlanmayı aynı anda başarabilmeyi gerektirir.</w:t>
            </w:r>
          </w:p>
        </w:tc>
      </w:tr>
    </w:tbl>
    <w:p w:rsidR="001039AB" w:rsidRDefault="001152A6" w:rsidP="005C5408">
      <w:pPr>
        <w:jc w:val="both"/>
        <w:rPr>
          <w:rFonts w:hint="eastAsia"/>
        </w:rPr>
      </w:pPr>
      <w:r>
        <w:t>Güzel sanatlar eğitimi bugün yalnızca sanatın geleneksel bilgi, teknik ve üretim biçimlerini aktaran bir eğitim alanı değildir. Kültürel dönüşümler, dijital teknolojiler, yapay zekâ, yaratıcı endüstriler, değişen meslekler, yeni üretim ve paylaşım ortamları ile toplumun değişen beklentileri sanat ve tasarım eğitiminin kendisini sürekli yenilemesini zorunlu kılmaktadır.</w:t>
      </w:r>
    </w:p>
    <w:p w:rsidR="001039AB" w:rsidRDefault="001152A6" w:rsidP="005C5408">
      <w:pPr>
        <w:jc w:val="both"/>
        <w:rPr>
          <w:rFonts w:hint="eastAsia"/>
        </w:rPr>
      </w:pPr>
      <w:r>
        <w:t>Gaziantep Üniversitesi Güzel Sanatlar Fakültesi 2026-2029 Stratejik Gelişim ve Uygulama Planı, bu dönüşümü yönetilebilir, ölçülebilir ve sürdürülebilir bir gelişim programına dönüştürmek amacıyla hazırlanmıştır. Plan, Gaziantep Üniversitesi 2025-2029 Stratejik Planının kurumsal amaç ve hedeflerini fakültenin özgün eğitim, sanat, tasarım ve araştırma yapısı içinde somutlaştırmaktadır.</w:t>
      </w:r>
    </w:p>
    <w:p w:rsidR="001039AB" w:rsidRDefault="001152A6" w:rsidP="005C5408">
      <w:pPr>
        <w:jc w:val="both"/>
        <w:rPr>
          <w:rFonts w:hint="eastAsia"/>
        </w:rPr>
      </w:pPr>
      <w:r>
        <w:t>Planın temel yaklaşımı daha fazla faaliyet yapmak değil; eğitimin, sanatsal üretimin, araştırmanın, toplumsal katkının ve kurumsal işleyişin niteliğini sistematik biçimde geliştirmektir. Bu nedenle öğrenci deneyimi, öğretim programları, sanatsal ve bilimsel araştırma, yaratıcı endüstrilerle ilişkiler, uluslararasılaşma, eğitim alanları, yapay zekâ ve kurumsal kalite birbirinden kopuk başlıklar olarak değil, tek bir gelişim sisteminin parçaları olarak ele alınmaktadır.</w:t>
      </w:r>
    </w:p>
    <w:p w:rsidR="001039AB" w:rsidRDefault="001152A6" w:rsidP="005C5408">
      <w:pPr>
        <w:jc w:val="both"/>
        <w:rPr>
          <w:rFonts w:hint="eastAsia"/>
        </w:rPr>
      </w:pPr>
      <w:r>
        <w:t>Yapay zekâ bu planda ayrı ve geçici bir teknoloji başlığı değildir. Eğitimden araştırmaya, sanatsal üretimden ölçme ve değerlendirmeye, mesleki gelişimden kurumsal yönetime kadar bütün alanları kesen bir dönüşüm konusu olarak değerlendirilir. Fakültemiz yapay zekâyı yaratıcı öznenin yerine değil, insanın düşünme, araştırma ve üretme kapasitesini genişleten çağdaş araçlardan biri olarak konumlandırır.</w:t>
      </w:r>
    </w:p>
    <w:p w:rsidR="001039AB" w:rsidRDefault="001152A6" w:rsidP="005C5408">
      <w:pPr>
        <w:jc w:val="both"/>
        <w:rPr>
          <w:rFonts w:hint="eastAsia"/>
        </w:rPr>
      </w:pPr>
      <w:r>
        <w:t>Gaziantep ise fakültemizin yalnızca bulunduğu şehir değildir. Kentin kültürel mirası, üretim gelenekleri, yaratıcı endüstrileri, yerel yönetimleri, kültür kurumları ve toplumsal çeşitliliği fakültenin genişletilmiş eğitim, araştırma ve üretim alanıdır.</w:t>
      </w:r>
    </w:p>
    <w:p w:rsidR="001039AB" w:rsidRDefault="001152A6" w:rsidP="005C5408">
      <w:pPr>
        <w:jc w:val="both"/>
        <w:rPr>
          <w:rFonts w:hint="eastAsia"/>
        </w:rPr>
      </w:pPr>
      <w:r>
        <w:t>Bu planın başarısı hazırlanmış olmasıyla değil, fakültenin gündelik yaşamına ne ölçüde yansıdığıyla değerlendirilecektir. Hedefler; performans göstergeleri, veri kaynakları, ölçme yöntemleri, sorumlular, riskler ve iyileştirme mekanizmalarıyla birlikte izlenecektir. Nicel veriler, sanat alanının doğası gereği nitel değerlendirmelerle birlikte yorumlanacaktır.</w:t>
      </w:r>
    </w:p>
    <w:p w:rsidR="001039AB" w:rsidRDefault="001152A6">
      <w:pPr>
        <w:jc w:val="right"/>
        <w:rPr>
          <w:rFonts w:hint="eastAsia"/>
        </w:rPr>
      </w:pPr>
      <w:r>
        <w:rPr>
          <w:b/>
        </w:rPr>
        <w:t>Prof. Dr. Ayhan Özer</w:t>
      </w:r>
      <w:r>
        <w:rPr>
          <w:b/>
        </w:rPr>
        <w:br/>
        <w:t>Dekan</w:t>
      </w:r>
    </w:p>
    <w:p w:rsidR="001039AB" w:rsidRDefault="001152A6">
      <w:pPr>
        <w:spacing w:before="100" w:after="20"/>
        <w:rPr>
          <w:rFonts w:hint="eastAsia"/>
        </w:rPr>
      </w:pPr>
      <w:r>
        <w:rPr>
          <w:b/>
          <w:color w:val="5C6F88"/>
          <w:sz w:val="15"/>
        </w:rPr>
        <w:t>02 / BIR BAKIŞTA PLAN</w:t>
      </w:r>
    </w:p>
    <w:p w:rsidR="001039AB" w:rsidRDefault="001152A6">
      <w:pPr>
        <w:pStyle w:val="Balk1"/>
      </w:pPr>
      <w:r>
        <w:t>Yönetici Özeti</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291"/>
        <w:gridCol w:w="7334"/>
      </w:tblGrid>
      <w:tr w:rsidR="001039AB" w:rsidTr="005C5408">
        <w:trPr>
          <w:trHeight w:val="921"/>
          <w:jc w:val="center"/>
        </w:trPr>
        <w:tc>
          <w:tcPr>
            <w:tcW w:w="291"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7334" w:type="dxa"/>
            <w:shd w:val="clear" w:color="auto" w:fill="F2F0EB"/>
            <w:tcMar>
              <w:top w:w="65" w:type="dxa"/>
              <w:left w:w="75" w:type="dxa"/>
              <w:bottom w:w="65" w:type="dxa"/>
              <w:right w:w="75" w:type="dxa"/>
            </w:tcMar>
          </w:tcPr>
          <w:p w:rsidR="001039AB" w:rsidRDefault="001152A6" w:rsidP="006F3914">
            <w:pPr>
              <w:spacing w:after="0" w:line="240" w:lineRule="auto"/>
              <w:rPr>
                <w:rFonts w:hint="eastAsia"/>
              </w:rPr>
            </w:pPr>
            <w:r>
              <w:rPr>
                <w:b/>
                <w:color w:val="A78655"/>
                <w:sz w:val="17"/>
              </w:rPr>
              <w:t>2029 RESM</w:t>
            </w:r>
            <w:r w:rsidR="006F3914">
              <w:rPr>
                <w:b/>
                <w:color w:val="A78655"/>
                <w:sz w:val="17"/>
              </w:rPr>
              <w:t>İ</w:t>
            </w:r>
            <w:bookmarkStart w:id="0" w:name="_GoBack"/>
            <w:bookmarkEnd w:id="0"/>
            <w:r>
              <w:rPr>
                <w:b/>
                <w:color w:val="A78655"/>
                <w:sz w:val="17"/>
              </w:rPr>
              <w:br/>
            </w:r>
            <w:r>
              <w:rPr>
                <w:b/>
                <w:color w:val="18212B"/>
                <w:sz w:val="15"/>
              </w:rPr>
              <w:t>Öğrencinin ilk temasından mezuniyet sonrasına uzanan yolculuğu izleyen; atölye kültürünü yaratıcı teknolojilerle buluşturan; Gaziantep ile birlikte üreten; uluslararası ağlara açık; veriye dayalı karar veren ve kendi kendini sürekli geliştiren bir Güzel Sanatlar Fakültesi.</w:t>
            </w:r>
          </w:p>
        </w:tc>
      </w:tr>
    </w:tbl>
    <w:p w:rsidR="001039AB" w:rsidRDefault="001152A6">
      <w:pPr>
        <w:pStyle w:val="Balk2"/>
      </w:pPr>
      <w:r>
        <w:t>Planın kurumsal mantığı</w:t>
      </w:r>
    </w:p>
    <w:p w:rsidR="001039AB" w:rsidRDefault="001152A6" w:rsidP="005C5408">
      <w:pPr>
        <w:jc w:val="both"/>
        <w:rPr>
          <w:rFonts w:hint="eastAsia"/>
        </w:rPr>
      </w:pPr>
      <w:r>
        <w:t>Bu plan ikinci bir üniversite stratejik planı üretmez. GAÜN’ün kurumsal amaçlarını üst çatı olarak kabul eder; Güzel Sanatlar Fakültesinin bu amaçlara hangi özgün araçlarla, hangi ölçülebilir sonuçlarla ve hangi kanıtlarla katkı vereceğini tanımlar.</w:t>
      </w:r>
    </w:p>
    <w:p w:rsidR="001039AB" w:rsidRDefault="001152A6" w:rsidP="005C5408">
      <w:pPr>
        <w:jc w:val="both"/>
        <w:rPr>
          <w:rFonts w:hint="eastAsia"/>
        </w:rPr>
      </w:pPr>
      <w:r>
        <w:t>GAÜN planının 2026-2029 hedef kartı güncellemesinde ölçülebilirlik, izlenebilirlik, kalite güvencesiyle entegrasyon, sürdürülebilirlik, dijitalleşme ve istihdam odaklı stratejiler öne çıkarılmıştır. GSF planı bu yaklaşımı fakülte düzeyinde ayrıntılandırır.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GAÜN amacı</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GSF stratejik karşılığı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A1 • Araştırma Üniversitesi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Sanatsal araştırma, uygulama temelli araştırma, özgün sanat/tasarım üretimi, yaratıcı teknolojiler, ulusal ve uluslararası görünürlük.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A2 • Sağlıkta Bölgesel Referans</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GSF’nin doğrudan sorumluluk alanı değildir; sanat, tasarım, erişilebilirlik ve iyi oluş temalı disiplinlerarası katkılar mümkündür.</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A3 • Üniversite-Sanayi İşbirliği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Yaratıcı endüstriler, kültür kurumları, yerel yönetimler, sektör, gerçek proje deneyimi, yerinde mesleki eğitim ve mezun mesleki sonuçları.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A4 • Nitelikli Eğitim</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Program kalitesi, eğitici yetkinliği, öğrenci yolculuğu, ölçme-değerlendirme, eğitim alanları, ders dışı öğrenme ve AI okuryazarlığı.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lastRenderedPageBreak/>
              <w:t>A5 • Kurumsallaşma</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Kalite güvencesi, koordinatörlükler, veri yönetimi, kurumsal hafıza, katılımcı yönetişim, sürdürülebilirlik ve PUKÖ.</w:t>
            </w:r>
          </w:p>
        </w:tc>
      </w:tr>
    </w:tbl>
    <w:p w:rsidR="001039AB" w:rsidRDefault="001152A6">
      <w:pPr>
        <w:spacing w:before="100" w:after="20"/>
        <w:rPr>
          <w:rFonts w:hint="eastAsia"/>
        </w:rPr>
      </w:pPr>
      <w:r>
        <w:rPr>
          <w:b/>
          <w:color w:val="5C6F88"/>
          <w:sz w:val="15"/>
        </w:rPr>
        <w:t>02 / BAŞARI MANTIĞI</w:t>
      </w:r>
    </w:p>
    <w:p w:rsidR="001039AB" w:rsidRDefault="001152A6">
      <w:pPr>
        <w:pStyle w:val="Balk1"/>
      </w:pPr>
      <w:r>
        <w:t>Faaliyetten Etkiye</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Düzey</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Soru</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Örnek</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Girdi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Ne kullandık?</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İnsan kaynağı, alan, ekipman, bütçe, zaman.</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Faaliyet</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Ne yaptık?</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Atölye, ders, proje, eğitim, sergi, ortaklık.</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Çıktı</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Ne üretildi?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Eser, portfolyo, rapor, protokol, katılım, yayın.</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Sonuç</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Kimde ne değişti?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Yetkinlik, memnuniyet, başarı, görünürlük, ortaklık kalitesi.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Etki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Uzun vadede neye katkı sunduk?</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Yaratıcı mesleki yaşam, kültürel etki, kurumsal kapasite, araştırma niteliği.</w:t>
            </w:r>
          </w:p>
        </w:tc>
      </w:tr>
      <w:tr w:rsidR="001039AB">
        <w:tblPrEx>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PrEx>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gridSpan w:val="2"/>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ÖLÇME ILKESI</w:t>
            </w:r>
            <w:r>
              <w:rPr>
                <w:b/>
                <w:color w:val="A78655"/>
                <w:sz w:val="17"/>
              </w:rPr>
              <w:br/>
            </w:r>
            <w:r>
              <w:rPr>
                <w:b/>
                <w:color w:val="18212B"/>
                <w:sz w:val="15"/>
              </w:rPr>
              <w:t>Faaliyet sayısı tek başına başarı sayılmaz. Mümkün olduğunda çıktı, sonuç ve etki birlikte ölçülür; sanatsal nitelik için nicel veriler nitel değerlendirmeyle tamamlanır.</w:t>
            </w:r>
          </w:p>
        </w:tc>
      </w:tr>
    </w:tbl>
    <w:p w:rsidR="001039AB" w:rsidRDefault="001152A6">
      <w:pPr>
        <w:spacing w:before="100" w:after="20"/>
        <w:rPr>
          <w:rFonts w:hint="eastAsia"/>
        </w:rPr>
      </w:pPr>
      <w:r>
        <w:rPr>
          <w:b/>
          <w:color w:val="5C6F88"/>
          <w:sz w:val="15"/>
        </w:rPr>
        <w:t>02 / TEMEL PERFORMANS ALANLARI</w:t>
      </w:r>
    </w:p>
    <w:p w:rsidR="001039AB" w:rsidRDefault="001152A6">
      <w:pPr>
        <w:pStyle w:val="Balk1"/>
      </w:pPr>
      <w:r>
        <w:t>Çekirdek Gösterge Paneli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Alan</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Çekirdek gösterge</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Ölçüm</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Eğitim</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Program/ders güncelliği; ölçme uyumu; öğrenci iş yükü</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Yıllık program öz değerlendirme + dönemlik ders kontrolü</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Öğrenci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Danışmanlık, geri bildirim, aidiyet, portfolyo</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Anket + portfolyo rubriği + kohort analizi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Sanat</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Öğrenci katılımlı üretim; ulusal/uluslararası görünürlük</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Sanatsal faaliyet envanteri + nitel sınıflama</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Araştırma</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Proje, sanatsal araştırma, dış fon, ortak üretim</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Proje/üretim envanteri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Toplumsal katkı</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Dış paydaşlı faaliyet ve etki ölçümü</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Katılım + ön/son geri bildirim + paydaş görüşü</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Altyapı</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Eğitim alanı kullanım ve yeterlilik düzeyi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Dönemlik kullanım verisi + alan kalite formu</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Kurumsal kalite</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Kapatılan PUKÖ; kanıt düzeyi; karar gerçekleşme</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Kalite gösterge kartı</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Okuryazarlık, ders entegrasyonu, etik kullanım, araştırma</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Eğitim kayıtları + ders izlencesi + proje envanteri</w:t>
            </w:r>
          </w:p>
        </w:tc>
      </w:tr>
    </w:tbl>
    <w:p w:rsidR="005C5408" w:rsidRDefault="005C5408">
      <w:pPr>
        <w:spacing w:after="20"/>
        <w:rPr>
          <w:rFonts w:hint="eastAsia"/>
          <w:b/>
          <w:color w:val="5C6F88"/>
          <w:sz w:val="15"/>
        </w:rPr>
      </w:pPr>
    </w:p>
    <w:p w:rsidR="001039AB" w:rsidRDefault="001152A6">
      <w:pPr>
        <w:spacing w:after="20"/>
        <w:rPr>
          <w:rFonts w:hint="eastAsia"/>
        </w:rPr>
      </w:pPr>
      <w:r>
        <w:rPr>
          <w:b/>
          <w:color w:val="5C6F88"/>
          <w:sz w:val="15"/>
        </w:rPr>
        <w:t>03 / STRATEJİK MİMARİ</w:t>
      </w:r>
    </w:p>
    <w:p w:rsidR="001039AB" w:rsidRDefault="001152A6">
      <w:pPr>
        <w:pStyle w:val="Balk1"/>
      </w:pPr>
      <w:r>
        <w:t>GAÜN–GSF Stratejik Uyum ve Referans Çerçevesi</w:t>
      </w:r>
    </w:p>
    <w:p w:rsidR="001039AB" w:rsidRDefault="001152A6">
      <w:pPr>
        <w:rPr>
          <w:rFonts w:hint="eastAsia"/>
        </w:rPr>
      </w:pPr>
      <w:r>
        <w:t>Bu planın stratejik mimarisi iki yönlü uyum üzerine kurulmuştur. Dikey uyum; Gaziantep Üniversitesi 2025–2029 Stratejik Planındaki amaç ve hedeflerin Güzel Sanatlar Fakültesinin eğitim, sanatsal araştırma, toplumsal katkı ve yönetişim alanlarına çevrilmesini; yatay uyum ise yükseköğretimdeki evrensel dönüşümlerin, ulusal kalite yaklaşımının ve Gaziantep’in kültürel/yaratıcı ekosisteminin ilgili GSF hedefleriyle ilişkilendirilmesini ifade eder.</w:t>
      </w:r>
    </w:p>
    <w:tbl>
      <w:tblPr>
        <w:tblW w:w="0" w:type="auto"/>
        <w:jc w:val="center"/>
        <w:tblLook w:val="04A0" w:firstRow="1" w:lastRow="0" w:firstColumn="1" w:lastColumn="0" w:noHBand="0" w:noVBand="1"/>
      </w:tblPr>
      <w:tblGrid>
        <w:gridCol w:w="10370"/>
      </w:tblGrid>
      <w:tr w:rsidR="001039AB">
        <w:trPr>
          <w:jc w:val="center"/>
        </w:trPr>
        <w:tc>
          <w:tcPr>
            <w:tcW w:w="10370" w:type="dxa"/>
            <w:shd w:val="clear" w:color="auto" w:fill="EEF3F8"/>
            <w:tcMar>
              <w:top w:w="65" w:type="dxa"/>
              <w:left w:w="75" w:type="dxa"/>
              <w:bottom w:w="65" w:type="dxa"/>
              <w:right w:w="75" w:type="dxa"/>
            </w:tcMar>
          </w:tcPr>
          <w:p w:rsidR="001039AB" w:rsidRDefault="001152A6">
            <w:pPr>
              <w:spacing w:after="0" w:line="240" w:lineRule="auto"/>
              <w:rPr>
                <w:rFonts w:hint="eastAsia"/>
              </w:rPr>
            </w:pPr>
            <w:r>
              <w:rPr>
                <w:i/>
                <w:color w:val="283D56"/>
                <w:sz w:val="17"/>
              </w:rPr>
              <w:t>Temel ilke: GSF’de hiçbir stratejik hedef tek başına tanımlanmaz; üst plan karşılığı, dış bağlamı, ölçülebilir sonucu, sorumlusu ve kanıtı birlikte gösterilir.</w:t>
            </w:r>
          </w:p>
        </w:tc>
      </w:tr>
    </w:tbl>
    <w:p w:rsidR="001039AB" w:rsidRDefault="001152A6">
      <w:pPr>
        <w:pStyle w:val="Balk2"/>
      </w:pPr>
      <w:r>
        <w:t>GAÜN 2025–2029 Amaçları ile GSF Stratejik Amaçlarının İlişkisi</w:t>
      </w:r>
    </w:p>
    <w:tbl>
      <w:tblPr>
        <w:tblW w:w="0" w:type="auto"/>
        <w:jc w:val="center"/>
        <w:tblLook w:val="04A0" w:firstRow="1" w:lastRow="0" w:firstColumn="1" w:lastColumn="0" w:noHBand="0" w:noVBand="1"/>
      </w:tblPr>
      <w:tblGrid>
        <w:gridCol w:w="2592"/>
        <w:gridCol w:w="2592"/>
        <w:gridCol w:w="2592"/>
        <w:gridCol w:w="2592"/>
      </w:tblGrid>
      <w:tr w:rsidR="001039AB">
        <w:trPr>
          <w:tblHeader/>
          <w:jc w:val="center"/>
        </w:trPr>
        <w:tc>
          <w:tcPr>
            <w:tcW w:w="2592"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GAÜN amacı</w:t>
            </w:r>
          </w:p>
        </w:tc>
        <w:tc>
          <w:tcPr>
            <w:tcW w:w="2592"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GAÜN amaç ifadesi</w:t>
            </w:r>
          </w:p>
        </w:tc>
        <w:tc>
          <w:tcPr>
            <w:tcW w:w="2592"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GSF karşılığı</w:t>
            </w:r>
          </w:p>
        </w:tc>
        <w:tc>
          <w:tcPr>
            <w:tcW w:w="2592"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İlişki</w:t>
            </w:r>
          </w:p>
        </w:tc>
      </w:tr>
      <w:tr w:rsidR="001039AB">
        <w:trPr>
          <w:jc w:val="center"/>
        </w:trPr>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GAÜN A1</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Ulusal ve uluslararası alanda etkin, saygın, girişimci ve yenilikçi bir araştırma üniversitesi olmak</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GSF A2 • Sanatsal araştırma, üretim ve yenilikçilik kapasitesini güçlendirmek</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Doğrudan</w:t>
            </w:r>
          </w:p>
        </w:tc>
      </w:tr>
      <w:tr w:rsidR="001039AB">
        <w:trPr>
          <w:jc w:val="center"/>
        </w:trPr>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GAÜN A2</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Sağlık alanında bölgesel referans merkezi olmak</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GSF hedefleriyle doğrudan ilişkili değildir; disiplinlerarası sanat, tasarım ve toplumsal katkı projelerinde dolaylı katkı üretilebilir.</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Dolaylı</w:t>
            </w:r>
          </w:p>
        </w:tc>
      </w:tr>
      <w:tr w:rsidR="001039AB">
        <w:trPr>
          <w:jc w:val="center"/>
        </w:trPr>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GAÜN A3</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Etkin ve sürdürülebilir üniversite-sanayi iş birliğinin sağlanması</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GSF A4 • Yaratıcı endüstriler, dış paydaşlar, mezunlar ve uluslararası ağlarla etkileşimi güçlendirmek</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Doğrudan</w:t>
            </w:r>
          </w:p>
        </w:tc>
      </w:tr>
      <w:tr w:rsidR="001039AB">
        <w:trPr>
          <w:jc w:val="center"/>
        </w:trPr>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lastRenderedPageBreak/>
              <w:t>GAÜN A4</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Evrensel değerler çerçevesinde nitelikli eğitim yapmak</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GSF A1 • Nitelikli, öğrenci merkezli ve geleceğe hazır sanat-tasarım eğitimini geliştirmek; GSF A6 • Eğitim alanları ve yaratıcı altyapıyı geliştirmek</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Doğrudan</w:t>
            </w:r>
          </w:p>
        </w:tc>
      </w:tr>
      <w:tr w:rsidR="001039AB">
        <w:trPr>
          <w:jc w:val="center"/>
        </w:trPr>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GAÜN A5</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Kurumsallaşma ve kurum kültürünün güçlendirilmesi</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GSF A5 • Kalite güvencesi, veriye dayalı yönetişim ve kurumsal gelişimi güçlendirmek</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Doğrudan</w:t>
            </w:r>
          </w:p>
        </w:tc>
      </w:tr>
    </w:tbl>
    <w:p w:rsidR="001039AB" w:rsidRDefault="001152A6">
      <w:pPr>
        <w:pStyle w:val="Balk2"/>
      </w:pPr>
      <w:r>
        <w:t>GAÜN Hedefleri–GSF Hedefleri Eşleştirme Matrisi</w:t>
      </w:r>
    </w:p>
    <w:tbl>
      <w:tblPr>
        <w:tblW w:w="0" w:type="auto"/>
        <w:jc w:val="center"/>
        <w:tblLook w:val="04A0" w:firstRow="1" w:lastRow="0" w:firstColumn="1" w:lastColumn="0" w:noHBand="0" w:noVBand="1"/>
      </w:tblPr>
      <w:tblGrid>
        <w:gridCol w:w="2592"/>
        <w:gridCol w:w="2592"/>
        <w:gridCol w:w="2592"/>
        <w:gridCol w:w="2592"/>
      </w:tblGrid>
      <w:tr w:rsidR="001039AB">
        <w:trPr>
          <w:tblHeader/>
          <w:jc w:val="center"/>
        </w:trPr>
        <w:tc>
          <w:tcPr>
            <w:tcW w:w="2592"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3"/>
              </w:rPr>
              <w:t>GAÜN hedefi</w:t>
            </w:r>
          </w:p>
        </w:tc>
        <w:tc>
          <w:tcPr>
            <w:tcW w:w="2592"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3"/>
              </w:rPr>
              <w:t>GAÜN hedef ifadesi</w:t>
            </w:r>
          </w:p>
        </w:tc>
        <w:tc>
          <w:tcPr>
            <w:tcW w:w="2592"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3"/>
              </w:rPr>
              <w:t>GSF hedefi</w:t>
            </w:r>
          </w:p>
        </w:tc>
        <w:tc>
          <w:tcPr>
            <w:tcW w:w="2592"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3"/>
              </w:rPr>
              <w:t>GSF düzeyindeki stratejik karşılık</w:t>
            </w:r>
          </w:p>
        </w:tc>
      </w:tr>
      <w:tr w:rsidR="001039AB">
        <w:trPr>
          <w:jc w:val="center"/>
        </w:trPr>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H1.1</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Bilimsel araştırmaları nicelik ve nitelik olarak arttırmak</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H2.1</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Bilimsel ve sanatsal araştırmanın niteliğini, görünürlüğünü ve çıktısını artırmak</w:t>
            </w:r>
          </w:p>
        </w:tc>
      </w:tr>
      <w:tr w:rsidR="001039AB">
        <w:trPr>
          <w:jc w:val="center"/>
        </w:trPr>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H1.2</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Üniversitenin ulusal ve uluslararası tanınırlığını ve başarı endekslerindeki düzeyini artırmak</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H2.2 / H4.2</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Nitelikli sanatsal görünürlük ve uluslararası ortak üretim ağlarını güçlendirmek</w:t>
            </w:r>
          </w:p>
        </w:tc>
      </w:tr>
      <w:tr w:rsidR="001039AB">
        <w:trPr>
          <w:jc w:val="center"/>
        </w:trPr>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H1.3</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Araştırma kaynaklarının güçlendirilmesi</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H2.3 / H6.2</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Proje, ekipman, yaratıcı teknoloji ve araştırma altyapısını güçlendirmek</w:t>
            </w:r>
          </w:p>
        </w:tc>
      </w:tr>
      <w:tr w:rsidR="001039AB">
        <w:trPr>
          <w:jc w:val="center"/>
        </w:trPr>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H1.4</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Ulusal ve uluslararası bilimsel toplantıların üniversitemizde yapılmasının teşvik edilmesi</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H2.4</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Sanat, tasarım ve yaratıcı araştırma alanlarında nitelikli bilimsel/sanatsal buluşmaları artırmak</w:t>
            </w:r>
          </w:p>
        </w:tc>
      </w:tr>
      <w:tr w:rsidR="001039AB">
        <w:trPr>
          <w:jc w:val="center"/>
        </w:trPr>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H3.1</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AR-GE iş birliklerinin arttırılması</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H4.1</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Yaratıcı sektörler, kamu ve sivil toplumla ortak proje/Ar-Ge kapasitesini artırmak</w:t>
            </w:r>
          </w:p>
        </w:tc>
      </w:tr>
      <w:tr w:rsidR="001039AB">
        <w:trPr>
          <w:jc w:val="center"/>
        </w:trPr>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H3.2</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TARGET TTO ile TEKNOPARK’ın etkinliğinin geliştirilmesi</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H4.3</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TTO/Teknopark bağlantılı tasarım, yaratıcı girişimcilik ve fikrî çıktı kapasitesini geliştirmek</w:t>
            </w:r>
          </w:p>
        </w:tc>
      </w:tr>
      <w:tr w:rsidR="001039AB">
        <w:trPr>
          <w:jc w:val="center"/>
        </w:trPr>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H3.3</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İstihdama yönelik sektör iş birliklerinin arttırılması</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H4.4</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Yerinde mesleki eğitim, kariyer, mezun ve sektör bağını güçlendirmek</w:t>
            </w:r>
          </w:p>
        </w:tc>
      </w:tr>
      <w:tr w:rsidR="001039AB">
        <w:trPr>
          <w:jc w:val="center"/>
        </w:trPr>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H4.1</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Eğitici yetkinliği yüksek akademik personelin sayısını arttırmak</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H1.1</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Eğitici yetkinliği, sanat eğitimi pedagojisi ve dijital/AI yetkinliklerini geliştirmek</w:t>
            </w:r>
          </w:p>
        </w:tc>
      </w:tr>
      <w:tr w:rsidR="001039AB">
        <w:trPr>
          <w:jc w:val="center"/>
        </w:trPr>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H4.2</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Üniversitenin tanıtımı yapılarak nitelikli öğrencilerin üniversitemizi tercih etmesine zemin hazırlamak</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H1.2</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Programların görünürlüğünü, aday öğrenci iletişimini ve nitelikli öğrenci çekimini güçlendirmek</w:t>
            </w:r>
          </w:p>
        </w:tc>
      </w:tr>
      <w:tr w:rsidR="001039AB">
        <w:trPr>
          <w:jc w:val="center"/>
        </w:trPr>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H4.3</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İhtiyaç duyulan eğitim, sportif ve sosyal binaların yapılması; mevcut binaların yenilenmesi ve kampüs altyapısının iyileştirilmesi</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H6.1</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Atölye, stüdyo, derslik, sergi/gösterim ve ortak eğitim alanlarının niteliğini ve etkin kullanımını artırmak</w:t>
            </w:r>
          </w:p>
        </w:tc>
      </w:tr>
      <w:tr w:rsidR="001039AB">
        <w:trPr>
          <w:jc w:val="center"/>
        </w:trPr>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H4.4</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Öğretim programlarının niteliğinin arttırılması</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H1.3 / H1.4</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Programları güncellemek; ölçme-değerlendirme ve öğrenci merkezli öğrenmeyi güçlendirmek</w:t>
            </w:r>
          </w:p>
        </w:tc>
      </w:tr>
      <w:tr w:rsidR="001039AB">
        <w:trPr>
          <w:jc w:val="center"/>
        </w:trPr>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H4.5</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Ders dışı eğitim ve sertifika programlarının yaygınlaştırılması</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H1.5</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Ders dışı yaratıcı öğrenme, mikro-yeterlik ve sürekli gelişim fırsatlarını artırmak</w:t>
            </w:r>
          </w:p>
        </w:tc>
      </w:tr>
      <w:tr w:rsidR="001039AB">
        <w:trPr>
          <w:jc w:val="center"/>
        </w:trPr>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H4.6</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Öğrencilerin bilimsel, kültürel, sanatsal, sportif ve toplum hizmeti alanlarındaki etkinliklere katılımının arttırılması</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H3.1 / H3.2</w:t>
            </w:r>
          </w:p>
        </w:tc>
        <w:tc>
          <w:tcPr>
            <w:tcW w:w="2592"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Öğrenci üretimi, kültürel katılım ve toplumsal katkıyı artırmak</w:t>
            </w:r>
          </w:p>
        </w:tc>
      </w:tr>
      <w:tr w:rsidR="001039AB">
        <w:trPr>
          <w:jc w:val="center"/>
        </w:trPr>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H5.1–H5.3</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Kurumsallaşma, aidiyet ve sürdürülebilirlik ekseni</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GSF H5.1 / H5.2 / H5.3</w:t>
            </w:r>
          </w:p>
        </w:tc>
        <w:tc>
          <w:tcPr>
            <w:tcW w:w="2592"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3"/>
              </w:rPr>
              <w:t>Kalite güvencesi, katılım, kurumsal hafıza, veriye dayalı yönetim ve sürdürülebilirlik kültürünü güçlendirmek</w:t>
            </w:r>
          </w:p>
        </w:tc>
      </w:tr>
    </w:tbl>
    <w:p w:rsidR="001039AB" w:rsidRDefault="001152A6">
      <w:pPr>
        <w:pStyle w:val="Balk2"/>
      </w:pPr>
      <w:r>
        <w:t>GSF Stratejik Amaç ve Hedef Haritası</w:t>
      </w:r>
    </w:p>
    <w:tbl>
      <w:tblPr>
        <w:tblW w:w="0" w:type="auto"/>
        <w:jc w:val="center"/>
        <w:tblLook w:val="04A0" w:firstRow="1" w:lastRow="0" w:firstColumn="1" w:lastColumn="0" w:noHBand="0" w:noVBand="1"/>
      </w:tblPr>
      <w:tblGrid>
        <w:gridCol w:w="3457"/>
        <w:gridCol w:w="3457"/>
        <w:gridCol w:w="3457"/>
      </w:tblGrid>
      <w:tr w:rsidR="001039AB">
        <w:trPr>
          <w:tblHeader/>
          <w:jc w:val="center"/>
        </w:trPr>
        <w:tc>
          <w:tcPr>
            <w:tcW w:w="3457"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Kod</w:t>
            </w:r>
          </w:p>
        </w:tc>
        <w:tc>
          <w:tcPr>
            <w:tcW w:w="3457"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GSF stratejik amacı</w:t>
            </w:r>
          </w:p>
        </w:tc>
        <w:tc>
          <w:tcPr>
            <w:tcW w:w="3457"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Hedef kümesi</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A1</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Nitelikli, öğrenci merkezli ve geleceğe hazır sanat-tasarım eğitimini geliştirmek</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H1.1 Eğitici yetkinliği • H1.2 Nitelikli öğrenci ve görünürlük • H1.3 Program niteliği • H1.4 Ölçme-değerlendirme • H1.5 Ders dışı öğrenme</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A2</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Sanatsal araştırma, üretim ve yenilikçilik kapasitesini güçlendirmek</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H2.1 Araştırma ve sanatsal üretim • H2.2 Görünürlük • H2.3 Kaynak/altyapı • H2.4 Bilimsel ve sanatsal buluşmalar</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A3</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Toplumsal ve kültürel etkiyi güçlendirmek</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H3.1 Öğrenci katılımı • H3.2 Kamusal/toplumsal sanat • H3.3 Gaziantep kültürel mirası ve çağdaş yorum • H3.4 Yaşam boyu öğrenme</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A4</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Yaratıcı endüstriler, dış paydaşlar, mezunlar ve uluslararası ağlarla etkileşimi güçlendirmek</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H4.1 Ortak proje/Ar-Ge • H4.2 Uluslararasılaşma • H4.3 Yaratıcı girişimcilik • H4.4 Kariyer, mezun ve sektör</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A5</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Kalite güvencesi, veriye dayalı yönetişim ve kurumsal gelişimi güçlendirmek</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H5.1 Kalite ve PUKÖ • H5.2 Katılım/aidiyet • H5.3 Veri, kurumsal hafıza ve sürdürülebilirlik</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A6</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Eğitim alanlarını ve yaratıcı üretim altyapısını geleceğe hazırlamak</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H6.1 Eğitim alanlarının niteliği ve etkin kullanımı • H6.2 Yaratıcı teknoloji altyapısı • H6.3 Erişilebilir, güvenli ve sürdürülebilir atölye/stüdyo modeli</w:t>
            </w:r>
          </w:p>
        </w:tc>
      </w:tr>
    </w:tbl>
    <w:p w:rsidR="001039AB" w:rsidRDefault="001152A6">
      <w:pPr>
        <w:pStyle w:val="Balk2"/>
      </w:pPr>
      <w:r>
        <w:lastRenderedPageBreak/>
        <w:t>Ulusal ve Evrensel Bağlamların GSF Hedeflerine Bağlanması</w:t>
      </w:r>
    </w:p>
    <w:tbl>
      <w:tblPr>
        <w:tblW w:w="0" w:type="auto"/>
        <w:jc w:val="center"/>
        <w:tblLook w:val="04A0" w:firstRow="1" w:lastRow="0" w:firstColumn="1" w:lastColumn="0" w:noHBand="0" w:noVBand="1"/>
      </w:tblPr>
      <w:tblGrid>
        <w:gridCol w:w="3457"/>
        <w:gridCol w:w="3457"/>
        <w:gridCol w:w="3457"/>
      </w:tblGrid>
      <w:tr w:rsidR="001039AB">
        <w:trPr>
          <w:tblHeader/>
          <w:jc w:val="center"/>
        </w:trPr>
        <w:tc>
          <w:tcPr>
            <w:tcW w:w="3457"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Stratejik bağlam</w:t>
            </w:r>
          </w:p>
        </w:tc>
        <w:tc>
          <w:tcPr>
            <w:tcW w:w="3457"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GSF açısından anlamı</w:t>
            </w:r>
          </w:p>
        </w:tc>
        <w:tc>
          <w:tcPr>
            <w:tcW w:w="3457"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İlgili hedefler</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Öğrenci merkezli yükseköğretim</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Aktif öğrenme, eleştiri, stüdyo/atölye pedagojisi, öğrenci iş yükü ve geri bildirim</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H1.3, H1.4, H1.5</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Kalite güvencesi ve sürekli iyileştirme</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Program izleme, kanıt temelli karar, PUKÖ, paydaş geri bildirimi</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H1.4, H5.1, H5.3</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Dijital dönüşüm ve yapay zekâ</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AI okuryazarlığı, etik kullanım, yeni medya, insan denetimli üretim ve yönetim</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H1.1, H1.3, H2.1, H5.3, H6.2</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Sanatsal araştırma / practice-based research</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Sanatsal üretimin araştırma sorusu, yöntem, süreç belgeleme ve bilgi üretimiyle ilişkilendirilmesi</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H2.1, H2.3, H2.4</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Sürdürülebilirlik</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Malzeme, enerji, atık, ortak ekipman, çevresel sorumluluk ve sürdürülebilir atölye</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H3.2, H5.3, H6.3</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Kapsayıcılık ve erişilebilirlik</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Fiziksel/dijital erişim, öğrenme ve kültür-sanat ortamlarına eşit katılım</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H1.3, H3.1, H6.1, H6.3</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Uluslararasılaşma</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Hareketlilik, ortak stüdyo, ortak proje, uluslararası jüri/sergi/gösterim ve ağlar</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H2.2, H4.2</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Yaratıcı endüstriler ve girişimcilik</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Sektörle ortak üretim, portfolyo, fikrî çıktı, yaratıcı girişim, kariyer ve mezun ağı</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H4.1, H4.3, H4.4</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Kültürel miras ve yer temelli sanat eğitimi</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Gaziantep’in kültürel mirasının etik, araştırmacı ve çağdaş yaklaşımlarla ele alınması</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H3.2, H3.3</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Toplumsal katkı ve yaşam boyu öğrenme</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Kamusal sanat, sosyal sorumluluk, belediye/STK işbirliği, toplumla öğrenme</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H3.1, H3.2, H3.4</w:t>
            </w:r>
          </w:p>
        </w:tc>
      </w:tr>
    </w:tbl>
    <w:p w:rsidR="001039AB" w:rsidRDefault="001152A6">
      <w:pPr>
        <w:pStyle w:val="Balk2"/>
      </w:pPr>
      <w:r>
        <w:t>Hedeflerin Kurumsal Sorumluluk Yapısına Dağılımı</w:t>
      </w:r>
    </w:p>
    <w:tbl>
      <w:tblPr>
        <w:tblW w:w="0" w:type="auto"/>
        <w:jc w:val="center"/>
        <w:tblLook w:val="04A0" w:firstRow="1" w:lastRow="0" w:firstColumn="1" w:lastColumn="0" w:noHBand="0" w:noVBand="1"/>
      </w:tblPr>
      <w:tblGrid>
        <w:gridCol w:w="3457"/>
        <w:gridCol w:w="3457"/>
        <w:gridCol w:w="3457"/>
      </w:tblGrid>
      <w:tr w:rsidR="001039AB">
        <w:trPr>
          <w:tblHeader/>
          <w:jc w:val="center"/>
        </w:trPr>
        <w:tc>
          <w:tcPr>
            <w:tcW w:w="3457"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Hedef alanı</w:t>
            </w:r>
          </w:p>
        </w:tc>
        <w:tc>
          <w:tcPr>
            <w:tcW w:w="3457"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Birincil sorumlu yapı</w:t>
            </w:r>
          </w:p>
        </w:tc>
        <w:tc>
          <w:tcPr>
            <w:tcW w:w="3457"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4"/>
              </w:rPr>
              <w:t>İşbirliği / destek</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H1.3 Program niteliği</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Birim Eğitim Komisyonu (BEK), Bölüm Başkanlıkları</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AKTS Koordinatörlüğü; Zorunlu ve Seçmeli Dersler Koordinatörlüğü; Fakülte Kalite Kurulu</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H1.4 Ölçme-değerlendirme</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Ölçme ve Değerlendirme Koordinatörlüğü</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BEK; Bölüm Başkanlıkları; Fakülte Kalite Kurulu</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H2.1–H2.4 Araştırma ve üretim</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Projeler Koordinatörlüğü; Bölüm Başkanlıkları</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Sanat ve Kültürel Faaliyetler Koordinatörlüğü; lisansüstü yapılar; dış paydaşlar</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H3.1–H3.4 Toplumsal/kültürel etki</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Sanat ve Kültürel Faaliyetler Koordinatörlüğü</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Bölüm Başkanlıkları; Projeler Koordinatörlüğü; yerel yönetimler; STK’lar</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H4.2 Uluslararasılaşma</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Değişim Programları Koordinatörlüğü / Erasmus Koordinatörlüğü</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Mevlana ve Farabi koordinatörlükleri; Bölüm Başkanlıkları</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H4.4 Kariyer/mezun/sektör</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Bölüm Başkanlıkları; ilgili koordinatörlükler</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TDP Koordinatörlüğü; Projeler Koordinatörlüğü; dış paydaşlar</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H5.1–H5.3 Kalite ve yönetişim</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Fakülte Kalite Kurulu; Dekanlık</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BEK; tüm koordinatörlükler; Fakülte Sekreterliği ve idari birimler</w:t>
            </w:r>
          </w:p>
        </w:tc>
      </w:tr>
      <w:tr w:rsidR="001039AB">
        <w:trPr>
          <w:jc w:val="center"/>
        </w:trPr>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H6.1 Eğitim alanları</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Ders ve Sınav Programları ile Eğitim Alanları Koordinatörlüğü</w:t>
            </w:r>
          </w:p>
        </w:tc>
        <w:tc>
          <w:tcPr>
            <w:tcW w:w="3457"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Bölüm Başkanlıkları; Fakülte Sekreterliği; Teknik Hizmetler; Bilgi İşlem</w:t>
            </w:r>
          </w:p>
        </w:tc>
      </w:tr>
      <w:tr w:rsidR="001039AB">
        <w:trPr>
          <w:jc w:val="center"/>
        </w:trPr>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H6.2–H6.3 Teknoloji, erişilebilirlik ve sürdürülebilir alanlar</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Dekanlık; ilgili koordinatörlükler</w:t>
            </w:r>
          </w:p>
        </w:tc>
        <w:tc>
          <w:tcPr>
            <w:tcW w:w="3457"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4"/>
              </w:rPr>
              <w:t>Bölüm Başkanlıkları; Teknik Hizmetler; Bilgi İşlem; Taşınır/Satın Alma</w:t>
            </w:r>
          </w:p>
        </w:tc>
      </w:tr>
      <w:tr w:rsidR="001039AB">
        <w:trPr>
          <w:jc w:val="center"/>
        </w:trPr>
        <w:tc>
          <w:tcPr>
            <w:tcW w:w="10370" w:type="dxa"/>
            <w:gridSpan w:val="3"/>
            <w:shd w:val="clear" w:color="auto" w:fill="EEF3F8"/>
            <w:tcMar>
              <w:top w:w="65" w:type="dxa"/>
              <w:left w:w="75" w:type="dxa"/>
              <w:bottom w:w="65" w:type="dxa"/>
              <w:right w:w="75" w:type="dxa"/>
            </w:tcMar>
          </w:tcPr>
          <w:p w:rsidR="001039AB" w:rsidRDefault="001152A6">
            <w:pPr>
              <w:spacing w:after="0" w:line="240" w:lineRule="auto"/>
              <w:rPr>
                <w:rFonts w:hint="eastAsia"/>
              </w:rPr>
            </w:pPr>
            <w:r>
              <w:rPr>
                <w:i/>
                <w:color w:val="283D56"/>
                <w:sz w:val="17"/>
              </w:rPr>
              <w:t>Sorumluluk ilkesi: Koordinatörlükler karar organı yerine geçmez; Dekanlık ve yetkili kurulların kararları doğrultusunda planlama, eşgüdüm, izleme, veri toplama ve raporlama işlevi yürütür.</w:t>
            </w:r>
          </w:p>
        </w:tc>
      </w:tr>
    </w:tbl>
    <w:p w:rsidR="001039AB" w:rsidRDefault="001152A6">
      <w:pPr>
        <w:spacing w:before="100" w:after="20"/>
        <w:rPr>
          <w:rFonts w:hint="eastAsia"/>
        </w:rPr>
      </w:pPr>
      <w:r>
        <w:rPr>
          <w:b/>
          <w:color w:val="5C6F88"/>
          <w:sz w:val="15"/>
        </w:rPr>
        <w:t>03 / YÖNTEM</w:t>
      </w:r>
    </w:p>
    <w:p w:rsidR="001039AB" w:rsidRDefault="001152A6">
      <w:pPr>
        <w:pStyle w:val="Balk1"/>
      </w:pPr>
      <w:r>
        <w:t>Stratejik Plan Hazırlık ve Yöntem</w:t>
      </w:r>
    </w:p>
    <w:p w:rsidR="001039AB" w:rsidRDefault="001152A6">
      <w:pPr>
        <w:rPr>
          <w:rFonts w:hint="eastAsia"/>
        </w:rPr>
      </w:pPr>
      <w:r>
        <w:t>GAÜN stratejik planlama yaklaşımı; hazırlık, durum analizi, geleceğe bakış, farklılaşma stratejisi, hedef kartları, risk-kontrol, maliyetlendirme ve izleme-değerlendirme aşamalarından oluşmaktadır. GSF planı aynı kurumsal mantığı fakülte ölçeğinde izler.</w:t>
      </w:r>
    </w:p>
    <w:p w:rsidR="001039AB" w:rsidRDefault="001152A6">
      <w:pPr>
        <w:rPr>
          <w:rFonts w:hint="eastAsia"/>
        </w:rPr>
      </w:pPr>
      <w:r>
        <w:t>Planın 2026 başlangıç yılı, üniversitenin güncellenmiş 2026-2029 hedef kartlarıyla eşzamanlı uygulama dönemi olarak ele alınmıştır. 2026 yılı içinde mevcut olmayan fakülte bazlı veriler için ilk güvenilir ölçüm baz çizgi olarak kabul edilecektir.</w:t>
      </w:r>
    </w:p>
    <w:p w:rsidR="001039AB" w:rsidRDefault="001152A6">
      <w:pPr>
        <w:pStyle w:val="Balk2"/>
      </w:pPr>
      <w:r>
        <w:t>Hazırlık ilkeleri</w:t>
      </w:r>
    </w:p>
    <w:p w:rsidR="001039AB" w:rsidRDefault="001152A6">
      <w:pPr>
        <w:pStyle w:val="ListeMaddemi"/>
        <w:spacing w:after="60"/>
        <w:rPr>
          <w:rFonts w:hint="eastAsia"/>
        </w:rPr>
      </w:pPr>
      <w:r>
        <w:t>Üst planla tam hizalama; fakülteye özgü derinleştirme.</w:t>
      </w:r>
    </w:p>
    <w:p w:rsidR="001039AB" w:rsidRDefault="001152A6">
      <w:pPr>
        <w:pStyle w:val="ListeMaddemi"/>
        <w:spacing w:after="60"/>
        <w:rPr>
          <w:rFonts w:hint="eastAsia"/>
        </w:rPr>
      </w:pPr>
      <w:r>
        <w:t>Kanıta dayalı durum analizi.</w:t>
      </w:r>
    </w:p>
    <w:p w:rsidR="001039AB" w:rsidRDefault="001152A6">
      <w:pPr>
        <w:pStyle w:val="ListeMaddemi"/>
        <w:spacing w:after="60"/>
        <w:rPr>
          <w:rFonts w:hint="eastAsia"/>
        </w:rPr>
      </w:pPr>
      <w:r>
        <w:t>Öğrenci, akademik/idari personel, mezun ve dış paydaş katılımı.</w:t>
      </w:r>
    </w:p>
    <w:p w:rsidR="001039AB" w:rsidRDefault="001152A6">
      <w:pPr>
        <w:pStyle w:val="ListeMaddemi"/>
        <w:spacing w:after="60"/>
        <w:rPr>
          <w:rFonts w:hint="eastAsia"/>
        </w:rPr>
      </w:pPr>
      <w:r>
        <w:t>Az ama anlamlı; tanımı ve veri kaynağı açık göstergeler.</w:t>
      </w:r>
    </w:p>
    <w:p w:rsidR="001039AB" w:rsidRDefault="001152A6">
      <w:pPr>
        <w:pStyle w:val="ListeMaddemi"/>
        <w:spacing w:after="60"/>
        <w:rPr>
          <w:rFonts w:hint="eastAsia"/>
        </w:rPr>
      </w:pPr>
      <w:r>
        <w:t>Sanatsal niteliği sayıya indirgemeyen karma ölçme yaklaşımı.</w:t>
      </w:r>
    </w:p>
    <w:p w:rsidR="001039AB" w:rsidRDefault="001152A6">
      <w:pPr>
        <w:pStyle w:val="ListeMaddemi"/>
        <w:spacing w:after="60"/>
        <w:rPr>
          <w:rFonts w:hint="eastAsia"/>
        </w:rPr>
      </w:pPr>
      <w:r>
        <w:lastRenderedPageBreak/>
        <w:t>Her hedefi risk, kaynak ve PUKÖ ile ilişkilendirme.</w:t>
      </w:r>
    </w:p>
    <w:p w:rsidR="001039AB" w:rsidRDefault="001152A6">
      <w:pPr>
        <w:spacing w:before="100" w:after="20"/>
        <w:rPr>
          <w:rFonts w:hint="eastAsia"/>
        </w:rPr>
      </w:pPr>
      <w:r>
        <w:rPr>
          <w:b/>
          <w:color w:val="5C6F88"/>
          <w:sz w:val="15"/>
        </w:rPr>
        <w:t>03 / VERI MIMARISI</w:t>
      </w:r>
    </w:p>
    <w:p w:rsidR="001039AB" w:rsidRDefault="001152A6">
      <w:pPr>
        <w:pStyle w:val="Balk1"/>
      </w:pPr>
      <w:r>
        <w:t>Kullanılacak Veri Kaynakları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Veri grubu</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Kaynak</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Kullanım</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Öğrenci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ÖBS, ders anketleri, danışmanlık anketi, odak grup</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Başarı, devam, memnuniyet, iş yükü, öğrenci deneyimi</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Program</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Ders bilgi paketleri, program yeterlilikleri, AKTS, öz değerlendirme</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Program niteliği ve güncellik</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Sanatsal üretim</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Sergi/gösterim/proje envanteri, katalog, jüri kayıtları</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Üretim niteliği ve görünürlük</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Araştırma</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BAP/dış fon/proje/yayın kayıtları</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Araştırma kapasitesi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Mezun</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Mezun izleme, portfolyo, mesleki faaliyet</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Mezun sonuçları</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Paydaş</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Protokoller, kurum anketleri, görüşmeler</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İşbirliği kalitesi ve etki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Altyapı</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Eğitim alanı envanteri, kullanım çizelgeleri, bakım kayıtları</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Alan verimliliği ve ihtiyaç</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Kalite</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PUKÖ, karar izleme, kanıt envanteri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Sürekli iyileştirme</w:t>
            </w:r>
          </w:p>
        </w:tc>
      </w:tr>
    </w:tbl>
    <w:p w:rsidR="001039AB" w:rsidRDefault="001152A6">
      <w:pPr>
        <w:spacing w:before="100" w:after="20"/>
        <w:rPr>
          <w:rFonts w:hint="eastAsia"/>
        </w:rPr>
      </w:pPr>
      <w:r>
        <w:rPr>
          <w:b/>
          <w:color w:val="5C6F88"/>
          <w:sz w:val="15"/>
        </w:rPr>
        <w:t>03 / KATILIM</w:t>
      </w:r>
    </w:p>
    <w:p w:rsidR="001039AB" w:rsidRDefault="001152A6">
      <w:pPr>
        <w:pStyle w:val="Balk1"/>
      </w:pPr>
      <w:r>
        <w:t>Katılımcı Planlama Modeli</w:t>
      </w:r>
    </w:p>
    <w:p w:rsidR="001039AB" w:rsidRDefault="001152A6" w:rsidP="005C5408">
      <w:pPr>
        <w:jc w:val="both"/>
        <w:rPr>
          <w:rFonts w:hint="eastAsia"/>
        </w:rPr>
      </w:pPr>
      <w:r>
        <w:t>Stratejik planın sahipliği yalnız Dekanlığa ait değildir. Dekanlık stratejik yön ve kaynak kararını üstlenirken; Fakülte Kalite Kurulu bütünleşik izlemeyi; bölüm başkanlıkları program düzeyindeki uygulamayı; BEK program kalitesini; Ölçme ve Değerlendirme Koordinatörlüğü ölçme ve geri bildirim sistemini; Ders ve Sınav Programları ile Eğitim Alanları Koordinatörlüğü programlama ve alan kullanımını; AKTS, Projeler, Sanat ve Kültürel Faaliyetler, Değişim Programları ve TDP koordinatörlükleri ise kendi uzmanlık alanlarındaki veri ve süreç yönetimini yürütür. Öğrenci ve dış paydaşlar geri bildirim veren değil, belirli alanlarda birlikte geliştiren aktörler olarak görülür.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Yapı</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Planlama rolü</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Ürettiği temel kanıt</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Dekanlık</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Stratejik sahiplik, kaynak ve karar</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Onay, görevlendirme, yıllık öncelikler</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Fakülte Kalite Kurulu</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İzleme, değerlendirme, PUKÖ</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Yıllık kalite değerlendirmesi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BEK</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Eğitim kalite güvencesi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Program/ders/AKTS izleme</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Ölçme ve Değerlendirme Koordinatörlüğü</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Anket, ölçme, geri bildirim</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Analiz ve iyileştirme raporları</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Ders-Sınav-Eğitim Alanları Koordinatörlüğü</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Programlama ve alan kullanımı</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Kapasite, kullanım, çakışma verisi</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Bölümler</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Program uygulaması</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Öz değerlendirme, bölüm iyileştirme planı</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Öğrenci/mezun/paydaş</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Deneyim ve etki geri bildirimi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Anket, görüşme, ortak değerlendirme</w:t>
            </w:r>
          </w:p>
        </w:tc>
      </w:tr>
    </w:tbl>
    <w:p w:rsidR="001039AB" w:rsidRDefault="001152A6">
      <w:pPr>
        <w:spacing w:before="100" w:after="20"/>
        <w:rPr>
          <w:rFonts w:hint="eastAsia"/>
        </w:rPr>
      </w:pPr>
      <w:r>
        <w:rPr>
          <w:b/>
          <w:color w:val="5C6F88"/>
          <w:sz w:val="15"/>
        </w:rPr>
        <w:t>04 / UYUM</w:t>
      </w:r>
    </w:p>
    <w:p w:rsidR="001039AB" w:rsidRDefault="001152A6">
      <w:pPr>
        <w:pStyle w:val="Balk1"/>
      </w:pPr>
      <w:r>
        <w:t>Kurumsal Konum ve Üst Planla Uyum</w:t>
      </w:r>
    </w:p>
    <w:p w:rsidR="001039AB" w:rsidRDefault="001152A6" w:rsidP="005C5408">
      <w:pPr>
        <w:jc w:val="both"/>
        <w:rPr>
          <w:rFonts w:hint="eastAsia"/>
        </w:rPr>
      </w:pPr>
      <w:r>
        <w:t>Gaziantep Üniversitesi misyonu; evrensel değerler çerçevesinde nitelikli insan yetiştirmeyi ve araştırma, eğitim, bilim, kültür, sanat ve sağlık alanlarında hizmet üretmeyi birlikte tanımlar. Üniversite vizyonu ise eğitim-öğretim ve bilimsel araştırmada uluslararası rekabet kabiliyeti yüksek bir dünya üniversitesi olmayı hedefler. GSF planı, sanat ve tasarım alanlarında bu misyon ve vizyonun somut uygulama katmanıdır.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Üst yönelim</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GSF yorumu</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Nitelikli insan yetiştirme</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Özgün düşünen, üreten, etik ve eleştirel sanatçı/tasarımcı.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Araştırma</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Bilimsel + sanatsal + uygulama temelli araştırma.</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Kültür ve sanat hizmeti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Gaziantep ve daha geniş toplumla ortak kültürel üretim.</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Uluslararası rekabet</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Ortak proje, görünürlük, hareketlilik ve araştırma ağı.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Kalite güvencesi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Veri + kanıt + paydaş + PUKÖ + iyileştirme.</w:t>
            </w:r>
          </w:p>
        </w:tc>
      </w:tr>
    </w:tbl>
    <w:p w:rsidR="001039AB" w:rsidRDefault="001152A6">
      <w:pPr>
        <w:spacing w:before="100" w:after="20"/>
        <w:rPr>
          <w:rFonts w:hint="eastAsia"/>
        </w:rPr>
      </w:pPr>
      <w:r>
        <w:rPr>
          <w:b/>
          <w:color w:val="5C6F88"/>
          <w:sz w:val="15"/>
        </w:rPr>
        <w:t>04 / AMAÇ-HEDEF HARITASI</w:t>
      </w:r>
    </w:p>
    <w:p w:rsidR="001039AB" w:rsidRDefault="001152A6">
      <w:pPr>
        <w:pStyle w:val="Balk1"/>
      </w:pPr>
      <w:r>
        <w:lastRenderedPageBreak/>
        <w:t>GAÜN Hedeflerinin GSF Önceliklerine Dağılımı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GAÜN hedef kümesi</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GSF öncelikleri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A1 / Araştırma</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Sanatsal araştırma; dış fon; uluslararası görünürlük; yaratıcı teknoloji; araştırma altyapısı.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A3 / İşbirliği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Yerinde mesleki eğitim; yaratıcı endüstri; kültür kurumu; belediye; gerçek proje; mezun istihdam/mesleki faaliyet.</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A4 / Eğitim</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Eğitici yetkinliği; aday öğrenci; eğitim alanı; program niteliği; ders dışı öğrenme; sanatsal/toplumsal katılım.</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A5 / Kurumsallaşma</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İş/hizmet kalitesi; aidiyet; mezun takibi; veri ve kalite kültürü; sürdürülebilir yönetişim.</w:t>
            </w:r>
          </w:p>
        </w:tc>
      </w:tr>
    </w:tbl>
    <w:p w:rsidR="001039AB" w:rsidRDefault="001152A6">
      <w:pPr>
        <w:spacing w:before="100" w:after="20"/>
        <w:rPr>
          <w:rFonts w:hint="eastAsia"/>
        </w:rPr>
      </w:pPr>
      <w:r>
        <w:rPr>
          <w:b/>
          <w:color w:val="5C6F88"/>
          <w:sz w:val="15"/>
        </w:rPr>
        <w:t>04 / A2 ILE İLIŞKI</w:t>
      </w:r>
    </w:p>
    <w:p w:rsidR="001039AB" w:rsidRDefault="001152A6">
      <w:pPr>
        <w:pStyle w:val="Balk1"/>
      </w:pPr>
      <w:r>
        <w:t>Doğrudan Sorumluluk Dışı Amaçlarda Katkı İlkesi</w:t>
      </w:r>
    </w:p>
    <w:p w:rsidR="001039AB" w:rsidRDefault="001152A6" w:rsidP="005C5408">
      <w:pPr>
        <w:jc w:val="both"/>
        <w:rPr>
          <w:rFonts w:hint="eastAsia"/>
        </w:rPr>
      </w:pPr>
      <w:r>
        <w:t>GAÜN A2 sağlıkta bölgesel referans merkezi olma amacı GSF’nin doğrudan stratejik sorumluluk alanı değildir. Bu nedenle planda yapay bir hedef eşleştirmesi yapılmaz. Bununla birlikte sanat ve tasarım; sağlık iletişimi, erişilebilirlik, iyi oluş, hastane mekânı, görsel kültür, sanat terapisi araştırmaları veya kamusal tasarım gibi disiplinlerarası projelerde destekleyici katkı sunabilir. Bu tür katkılar A2’nin performans sorumluluğunu üstlenmek anlamına gelmez.</w:t>
      </w:r>
    </w:p>
    <w:p w:rsidR="001039AB" w:rsidRDefault="001152A6">
      <w:pPr>
        <w:spacing w:before="100" w:after="20"/>
        <w:rPr>
          <w:rFonts w:hint="eastAsia"/>
        </w:rPr>
      </w:pPr>
      <w:r>
        <w:rPr>
          <w:b/>
          <w:color w:val="5C6F88"/>
          <w:sz w:val="15"/>
        </w:rPr>
        <w:t>05 / MEVCUT DURUM</w:t>
      </w:r>
    </w:p>
    <w:p w:rsidR="001039AB" w:rsidRDefault="001152A6">
      <w:pPr>
        <w:pStyle w:val="Balk1"/>
      </w:pPr>
      <w:r>
        <w:t>04A • Kurumsal Yönetişim ve Organizasyon Yapısı</w:t>
      </w:r>
    </w:p>
    <w:p w:rsidR="001039AB" w:rsidRDefault="001152A6" w:rsidP="005C5408">
      <w:pPr>
        <w:jc w:val="both"/>
        <w:rPr>
          <w:rFonts w:hint="eastAsia"/>
        </w:rPr>
      </w:pPr>
      <w:r>
        <w:t>Stratejik planın uygulanması, Fakültenin mevcut organizasyon şemasındaki akademik, yönetsel, koordinasyon ve idari yapıların görev alanlarıyla ilişkilendirilmiştir. Yeni bir paralel örgütlenme oluşturmak yerine mevcut kurul, komisyon, koordinatörlük ve idari birimlerin plan hedeflerine açık sorumluluklarla bağlanması esastır.</w:t>
      </w:r>
    </w:p>
    <w:p w:rsidR="001039AB" w:rsidRDefault="001152A6">
      <w:pPr>
        <w:pStyle w:val="Balk2"/>
      </w:pPr>
      <w:r>
        <w:t>Yönetsel yapı ve karar zinciri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320"/>
        <w:gridCol w:w="4320"/>
      </w:tblGrid>
      <w:tr w:rsidR="001039AB">
        <w:trPr>
          <w:jc w:val="center"/>
        </w:trPr>
        <w:tc>
          <w:tcPr>
            <w:tcW w:w="4320"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Yapı</w:t>
            </w:r>
          </w:p>
        </w:tc>
        <w:tc>
          <w:tcPr>
            <w:tcW w:w="4320"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Stratejik plandaki temel rol</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Rektör / Rektör Yardımcıları</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Üniversite stratejik yönü, üst politika, kaynak ve kurumsal eşgüdüm.</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Dekan</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Planın sahibi; önceliklendirme, kaynak tahsisi, performans ve PUKÖ kararlarının nihai fakülte sorumlusu.</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Fakülte Kurulu</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Eğitim-öğretim, program ve akademik gelişim kararlarının fakülte düzeyinde değerlendirilmesi.</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Fakülte Yönetim Kurulu</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İdari/akademik uygulama kararları, kaynak ve yürütme süreçlerinin mevzuat çerçevesinde karara bağlanması.</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Dekan Yardımcıları</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Kendilerine bağlı stratejik alanların koordinasyonu; hedef kartlarının izlenmesi ve birimler arası eşgüdüm.</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Fakülte Sekreteri</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İdari birimlerin, kaynakların, kayıtların, teknik/destek süreçlerinin ve kurumsal kanıt akışının koordinasyonu.</w:t>
            </w:r>
          </w:p>
        </w:tc>
      </w:tr>
    </w:tbl>
    <w:p w:rsidR="001039AB" w:rsidRDefault="001152A6">
      <w:pPr>
        <w:pStyle w:val="Balk2"/>
      </w:pPr>
      <w:r>
        <w:t>Akademik birimler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320"/>
        <w:gridCol w:w="4320"/>
      </w:tblGrid>
      <w:tr w:rsidR="001039AB">
        <w:trPr>
          <w:jc w:val="center"/>
        </w:trPr>
        <w:tc>
          <w:tcPr>
            <w:tcW w:w="4320"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Bölüm / Program</w:t>
            </w:r>
          </w:p>
        </w:tc>
        <w:tc>
          <w:tcPr>
            <w:tcW w:w="4320"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Stratejik sorumluluk</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Film Tasarımı ve Yönetimi Bölümü</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Program kalitesi, film/medya üretimi, sektör projeleri, yaratıcı teknoloji ve öğrenci portfolyosu.</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Tekstil ve Moda Tasarımı Bölümü</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Program kalitesi, tekstil/moda sektörü işbirliği, sürdürülebilir üretim, yaratıcı teknoloji ve portfolyo.</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Resim Bölümü</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Atölye pedagojisi, sanatsal araştırma, sergi/üretim, yerinde mesleki eğitim ve portfolyo.</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Geleneksel Türk Sanatları Bölümü / Halı Tasarımı Programı</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Kültürel mirasın çağdaş ve etik yorumu, sektör/zanaat işbirliği, tasarım ve araştırma.</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Seramik ve Cam Bölümü</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5"/>
              </w:rPr>
              <w:t>Atölye altyapısı, malzeme/üretim, sanatsal araştırma, sürdürülebilirlik ve sergileme.</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Grafik Sanatlar Bölümü</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Görsel iletişim, dijital üretim, AI ve yaratıcı teknoloji, sektör briefleri ve portfolyo.</w:t>
            </w:r>
          </w:p>
        </w:tc>
      </w:tr>
    </w:tbl>
    <w:p w:rsidR="001039AB" w:rsidRDefault="001152A6">
      <w:pPr>
        <w:pStyle w:val="Balk2"/>
      </w:pPr>
      <w:proofErr w:type="spellStart"/>
      <w:r>
        <w:lastRenderedPageBreak/>
        <w:t>Kurul</w:t>
      </w:r>
      <w:proofErr w:type="spellEnd"/>
      <w:r>
        <w:t xml:space="preserve">, </w:t>
      </w:r>
      <w:proofErr w:type="spellStart"/>
      <w:r>
        <w:t>komisyon</w:t>
      </w:r>
      <w:proofErr w:type="spellEnd"/>
      <w:r>
        <w:t xml:space="preserve"> </w:t>
      </w:r>
      <w:proofErr w:type="spellStart"/>
      <w:r>
        <w:t>ve</w:t>
      </w:r>
      <w:proofErr w:type="spellEnd"/>
      <w:r>
        <w:t xml:space="preserve"> </w:t>
      </w:r>
      <w:proofErr w:type="spellStart"/>
      <w:r>
        <w:t>koordinatörlüklerin</w:t>
      </w:r>
      <w:proofErr w:type="spellEnd"/>
      <w:r>
        <w:t xml:space="preserve"> stratejik görev eşleştirmesi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320"/>
        <w:gridCol w:w="4320"/>
      </w:tblGrid>
      <w:tr w:rsidR="001039AB">
        <w:trPr>
          <w:jc w:val="center"/>
        </w:trPr>
        <w:tc>
          <w:tcPr>
            <w:tcW w:w="4320"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Kurul / Komisyon / Koordinatörlük</w:t>
            </w:r>
          </w:p>
        </w:tc>
        <w:tc>
          <w:tcPr>
            <w:tcW w:w="4320"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Planla ilişkili ana sorumluluk</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Fakülte Kalite Kurulu</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Stratejik gösterge paneli, PUKÖ, risk, kanıt, yıllık kalite ve stratejik değerlendirme.</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Birim Eğitim Komisyonu (BEK)</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Program öz değerlendirme, program yeterlilikleri, ders çıktıları, AKTS, program güncelliği ve akreditasyon hazırlığı.</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Ölçme ve Değerlendirme Koordinatörlüğü</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Ders ölçme süreçleri, rubrik ve değerlendirme yöntemleri, öğrenci/personel/paydaş anketleri, analiz ve iyileştirme raporları.</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Ders ve Sınav Programları ile Eğitim Alanları Koordinatörlüğü</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Ders/sınav programları, alan envanteri, kapasite, kullanım, çakışma, doluluk ve eğitim alanı verimliliği.</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Formasyon Komisyonu</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Pedagojik formasyonla ilişkili akademik ve idari süreçlerin koordinasyonu.</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Sanat ve Kültürel Faaliyetler Koordinatörlüğü</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Sergi, gösterim, çalıştay, festival, öğrenci katılımı, toplumsal/kültürel etki ve etkinlik envanteri.</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Projeler Koordinatörlüğü</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BAP/dış fon, proje çağrıları, proje geliştirme, disiplinlerarası ve dış paydaşlı proje portföyü.</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Zorunlu ve Seçmeli Dersler Koordinatörlüğü</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Ortak/seçmeli ders yapısı, ders çeşitliliği, öğrenci seçim olanakları ve program bütünlüğü.</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Değişim Programları Koordinatörlüğü</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Ulusal/uluslararası öğrenci ve personel hareketliliğinin genel eşgüdümü.</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Erasmus Koordinatörlüğü</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Erasmus hareketliliği, ikili anlaşmalar ve uluslararası ortak eğitim/üretim.</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Mevlana Koordinatörlüğü</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Programın mevzuat ve aktiflik durumuna göre değişim süreçlerinin kurumsal takibi.</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Farabi Koordinatörlüğü</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Programın mevzuat ve aktiflik durumuna göre ulusal değişim süreçlerinin kurumsal takibi.</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AKTS Koordinatörlüğü</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3"/>
              </w:rPr>
              <w:t>Öğrenci iş yükü, AKTS tutarlılığı, ders bilgi paketleri ve iş yükü doğrulaması.</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TDP Koordinatörlüğü</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Toplumsal duyarlılık/toplumsal katkı projeleri, öğrenci katılımı ve etki kanıtları.</w:t>
            </w:r>
          </w:p>
        </w:tc>
      </w:tr>
    </w:tbl>
    <w:p w:rsidR="001039AB" w:rsidRDefault="001152A6">
      <w:pPr>
        <w:pStyle w:val="Balk2"/>
      </w:pPr>
      <w:r>
        <w:t>İdari birimler ve destek zinciri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320"/>
        <w:gridCol w:w="4320"/>
      </w:tblGrid>
      <w:tr w:rsidR="001039AB">
        <w:trPr>
          <w:jc w:val="center"/>
        </w:trPr>
        <w:tc>
          <w:tcPr>
            <w:tcW w:w="4320"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İdari birim</w:t>
            </w:r>
          </w:p>
        </w:tc>
        <w:tc>
          <w:tcPr>
            <w:tcW w:w="4320"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Stratejik katkı</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4"/>
              </w:rPr>
              <w:t>Bölüm Sekreterlikleri</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4"/>
              </w:rPr>
              <w:t>Bölüm karar, yazışma, veri ve kanıt akışının düzenli yürütülmesi.</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Yazı İşleri</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Kurumsal yazışma, karar ve arşiv bütünlüğü.</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4"/>
              </w:rPr>
              <w:t>Özlük İşleri</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4"/>
              </w:rPr>
              <w:t>İnsan kaynağı verileri ve personel süreçleri.</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Mali İşler</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Bütçe, mali izleme ve kaynak kullanım kanıtları.</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4"/>
              </w:rPr>
              <w:t>Taşınır-Satın Alma İşlemleri</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4"/>
              </w:rPr>
              <w:t>Ekipman/malzeme tedariki, envanter ve yatırım izleme.</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Öğrenci İşleri</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Öğrenci, başarı, kayıt, mezuniyet ve eğitim süreçlerine ilişkin veri.</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4"/>
              </w:rPr>
              <w:t>Teknik Hizmetler</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4"/>
              </w:rPr>
              <w:t>Atölye, derslik ve teknik altyapının bakım/işletme sürekliliği.</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Yardımcı Hizmetler</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Eğitim ve ortak alanların işleyiş desteği.</w:t>
            </w:r>
          </w:p>
        </w:tc>
      </w:tr>
      <w:tr w:rsidR="001039AB">
        <w:trPr>
          <w:jc w:val="center"/>
        </w:trPr>
        <w:tc>
          <w:tcPr>
            <w:tcW w:w="4320" w:type="dxa"/>
            <w:tcMar>
              <w:top w:w="65" w:type="dxa"/>
              <w:left w:w="75" w:type="dxa"/>
              <w:bottom w:w="65" w:type="dxa"/>
              <w:right w:w="75" w:type="dxa"/>
            </w:tcMar>
          </w:tcPr>
          <w:p w:rsidR="001039AB" w:rsidRDefault="001152A6">
            <w:pPr>
              <w:spacing w:after="0" w:line="240" w:lineRule="auto"/>
              <w:rPr>
                <w:rFonts w:hint="eastAsia"/>
              </w:rPr>
            </w:pPr>
            <w:r>
              <w:rPr>
                <w:sz w:val="14"/>
              </w:rPr>
              <w:t>Bilgi İşlem</w:t>
            </w:r>
          </w:p>
        </w:tc>
        <w:tc>
          <w:tcPr>
            <w:tcW w:w="4320" w:type="dxa"/>
            <w:tcMar>
              <w:top w:w="65" w:type="dxa"/>
              <w:left w:w="75" w:type="dxa"/>
              <w:bottom w:w="65" w:type="dxa"/>
              <w:right w:w="75" w:type="dxa"/>
            </w:tcMar>
          </w:tcPr>
          <w:p w:rsidR="001039AB" w:rsidRDefault="001152A6">
            <w:pPr>
              <w:spacing w:after="0" w:line="240" w:lineRule="auto"/>
              <w:rPr>
                <w:rFonts w:hint="eastAsia"/>
              </w:rPr>
            </w:pPr>
            <w:r>
              <w:rPr>
                <w:sz w:val="14"/>
              </w:rPr>
              <w:t>Dijital altyapı, veri, erişim ve teknik sistem desteği.</w:t>
            </w:r>
          </w:p>
        </w:tc>
      </w:tr>
      <w:tr w:rsidR="001039AB">
        <w:trPr>
          <w:jc w:val="center"/>
        </w:trPr>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Destek Hizmetleri</w:t>
            </w:r>
          </w:p>
        </w:tc>
        <w:tc>
          <w:tcPr>
            <w:tcW w:w="432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Lojistik, etkinlik ve kurumsal operasyon desteği.</w:t>
            </w:r>
          </w:p>
        </w:tc>
      </w:tr>
    </w:tbl>
    <w:p w:rsidR="001039AB" w:rsidRDefault="001152A6">
      <w:pPr>
        <w:pStyle w:val="Balk2"/>
      </w:pPr>
      <w:r>
        <w:t>Hedef - sorumlu yapı matrisi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2880"/>
        <w:gridCol w:w="2880"/>
        <w:gridCol w:w="2880"/>
      </w:tblGrid>
      <w:tr w:rsidR="001039AB">
        <w:trPr>
          <w:jc w:val="center"/>
        </w:trPr>
        <w:tc>
          <w:tcPr>
            <w:tcW w:w="2880"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Stratejik alan</w:t>
            </w:r>
          </w:p>
        </w:tc>
        <w:tc>
          <w:tcPr>
            <w:tcW w:w="2880"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Birincil yapı</w:t>
            </w:r>
          </w:p>
        </w:tc>
        <w:tc>
          <w:tcPr>
            <w:tcW w:w="2880"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Temel işbirliği</w:t>
            </w:r>
          </w:p>
        </w:tc>
      </w:tr>
      <w:tr w:rsidR="001039AB">
        <w:trPr>
          <w:jc w:val="center"/>
        </w:trPr>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A1 Araştırma ve yenilikçilik</w:t>
            </w:r>
          </w:p>
        </w:tc>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Dekanlık + Projeler Koordinatörlüğü</w:t>
            </w:r>
          </w:p>
        </w:tc>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Bölümler, lisansüstü yapılar, Sanat ve Kültürel Faaliyetler, Bilgi İşlem.</w:t>
            </w:r>
          </w:p>
        </w:tc>
      </w:tr>
      <w:tr w:rsidR="001039AB">
        <w:trPr>
          <w:jc w:val="center"/>
        </w:trPr>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A3 Yaratıcı endüstriler / dış paydaş</w:t>
            </w:r>
          </w:p>
        </w:tc>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Dekanlık + Bölüm Başkanlıkları</w:t>
            </w:r>
          </w:p>
        </w:tc>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Projeler, TDP, Sanat ve Kültürel Faaliyetler, ilgili idari birimler.</w:t>
            </w:r>
          </w:p>
        </w:tc>
      </w:tr>
      <w:tr w:rsidR="001039AB">
        <w:trPr>
          <w:jc w:val="center"/>
        </w:trPr>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A4 Nitelikli eğitim</w:t>
            </w:r>
          </w:p>
        </w:tc>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BEK + Bölüm Başkanlıkları</w:t>
            </w:r>
          </w:p>
        </w:tc>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Ölçme-Değerlendirme, AKTS, Zorunlu-Seçmeli Dersler, Ders-Sınav-Eğitim Alanları.</w:t>
            </w:r>
          </w:p>
        </w:tc>
      </w:tr>
      <w:tr w:rsidR="001039AB">
        <w:trPr>
          <w:jc w:val="center"/>
        </w:trPr>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A4 Öğrenci deneyimi</w:t>
            </w:r>
          </w:p>
        </w:tc>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Dekan Yardımcılığı + Öğrenci İşleri</w:t>
            </w:r>
          </w:p>
        </w:tc>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Bölümler, Ölçme-Değerlendirme, Sanat ve Kültürel Faaliyetler.</w:t>
            </w:r>
          </w:p>
        </w:tc>
      </w:tr>
      <w:tr w:rsidR="001039AB">
        <w:trPr>
          <w:jc w:val="center"/>
        </w:trPr>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A4 Uluslararasılaşma</w:t>
            </w:r>
          </w:p>
        </w:tc>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Değişim Programları Koordinatörlüğü</w:t>
            </w:r>
          </w:p>
        </w:tc>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Erasmus, Mevlana, Farabi, Bölümler.</w:t>
            </w:r>
          </w:p>
        </w:tc>
      </w:tr>
      <w:tr w:rsidR="001039AB">
        <w:trPr>
          <w:jc w:val="center"/>
        </w:trPr>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A5 Kurumsallaşma</w:t>
            </w:r>
          </w:p>
        </w:tc>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Dekanlık + Fakülte Kalite Kurulu + Fakülte Sekreterliği</w:t>
            </w:r>
          </w:p>
        </w:tc>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Tüm akademik ve idari birimler.</w:t>
            </w:r>
          </w:p>
        </w:tc>
      </w:tr>
      <w:tr w:rsidR="001039AB">
        <w:trPr>
          <w:jc w:val="center"/>
        </w:trPr>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AI ve yaratıcı teknolojiler</w:t>
            </w:r>
          </w:p>
        </w:tc>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Dekanlık / ilgili kurul-yapı</w:t>
            </w:r>
          </w:p>
        </w:tc>
        <w:tc>
          <w:tcPr>
            <w:tcW w:w="2880" w:type="dxa"/>
            <w:tcMar>
              <w:top w:w="65" w:type="dxa"/>
              <w:left w:w="75" w:type="dxa"/>
              <w:bottom w:w="65" w:type="dxa"/>
              <w:right w:w="75" w:type="dxa"/>
            </w:tcMar>
          </w:tcPr>
          <w:p w:rsidR="001039AB" w:rsidRDefault="001152A6">
            <w:pPr>
              <w:spacing w:after="0" w:line="240" w:lineRule="auto"/>
              <w:rPr>
                <w:rFonts w:hint="eastAsia"/>
              </w:rPr>
            </w:pPr>
            <w:r>
              <w:rPr>
                <w:sz w:val="13"/>
              </w:rPr>
              <w:t>BEK, Bölümler, Ölçme-Değerlendirme, Projeler, Bilgi İşlem.</w:t>
            </w:r>
          </w:p>
        </w:tc>
      </w:tr>
      <w:tr w:rsidR="001039AB">
        <w:trPr>
          <w:jc w:val="center"/>
        </w:trPr>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Eğitim alanları ve kaynak verimliliği</w:t>
            </w:r>
          </w:p>
        </w:tc>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 xml:space="preserve">Ders-Sınav-Eğitim Alanları Koordinatörlüğü + </w:t>
            </w:r>
            <w:r>
              <w:rPr>
                <w:sz w:val="13"/>
              </w:rPr>
              <w:lastRenderedPageBreak/>
              <w:t>Fakülte Sekreterliği</w:t>
            </w:r>
          </w:p>
        </w:tc>
        <w:tc>
          <w:tcPr>
            <w:tcW w:w="2880"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lastRenderedPageBreak/>
              <w:t xml:space="preserve">Bölümler, Teknik Hizmetler, Taşınır-Satın Alma, </w:t>
            </w:r>
            <w:r>
              <w:rPr>
                <w:sz w:val="13"/>
              </w:rPr>
              <w:lastRenderedPageBreak/>
              <w:t>Bilgi İşlem.</w:t>
            </w:r>
          </w:p>
        </w:tc>
      </w:tr>
    </w:tbl>
    <w:p w:rsidR="001039AB" w:rsidRDefault="001152A6">
      <w:pPr>
        <w:pStyle w:val="Balk1"/>
      </w:pPr>
      <w:r>
        <w:lastRenderedPageBreak/>
        <w:t>Durum Analizi</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357"/>
        <w:gridCol w:w="8974"/>
      </w:tblGrid>
      <w:tr w:rsidR="001039AB" w:rsidTr="001569BE">
        <w:trPr>
          <w:trHeight w:val="611"/>
          <w:jc w:val="center"/>
        </w:trPr>
        <w:tc>
          <w:tcPr>
            <w:tcW w:w="357"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8974"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AMAÇ</w:t>
            </w:r>
            <w:r>
              <w:rPr>
                <w:b/>
                <w:color w:val="A78655"/>
                <w:sz w:val="17"/>
              </w:rPr>
              <w:br/>
            </w:r>
            <w:r>
              <w:rPr>
                <w:b/>
                <w:color w:val="18212B"/>
                <w:sz w:val="15"/>
              </w:rPr>
              <w:t>Durum analizi, fakültenin kendisi hakkında kanaat üretmek için değil; hangi hedefe neden ihtiyaç duyduğunu kanıtlamak için yapılır.</w:t>
            </w:r>
          </w:p>
        </w:tc>
      </w:tr>
    </w:tbl>
    <w:p w:rsidR="001039AB" w:rsidRDefault="001152A6">
      <w:pPr>
        <w:pStyle w:val="Balk2"/>
      </w:pPr>
      <w:r>
        <w:t>Faaliyet alanları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Alan</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GSF ürün ve hizmetleri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Eğitim</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Lisans/lisansüstü dersler, atölye ve stüdyo eğitimi, danışmanlık, portfolyo, yerinde mesleki eğitim.</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Araştırma</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Bilimsel araştırma, sanatsal araştırma, eser/proje, yayın, sergi, film, tasarım, performans.</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Toplumsal katkı</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Kültürel etkinlik, kamusal sanat, sosyal sorumluluk, yerel paydaş projeleri.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İşbirliği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Yerel yönetim, yaratıcı endüstri, kültür kurumu, STK, uluslararası ortaklık.</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Kurumsal hizmet</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Kalite güvencesi, ölçme-değerlendirme, eğitim alanı yönetimi, arşiv, veri ve raporlama.</w:t>
            </w:r>
          </w:p>
        </w:tc>
      </w:tr>
    </w:tbl>
    <w:p w:rsidR="001039AB" w:rsidRDefault="001152A6">
      <w:pPr>
        <w:spacing w:before="100" w:after="20"/>
        <w:rPr>
          <w:rFonts w:hint="eastAsia"/>
        </w:rPr>
      </w:pPr>
      <w:r>
        <w:rPr>
          <w:b/>
          <w:color w:val="5C6F88"/>
          <w:sz w:val="15"/>
        </w:rPr>
        <w:t>05 / EĞITIM</w:t>
      </w:r>
    </w:p>
    <w:p w:rsidR="001039AB" w:rsidRDefault="001152A6">
      <w:pPr>
        <w:pStyle w:val="Balk1"/>
      </w:pPr>
      <w:r>
        <w:t>Eğitim-Öğretim Durum Analizi</w:t>
      </w:r>
    </w:p>
    <w:p w:rsidR="001039AB" w:rsidRDefault="001152A6" w:rsidP="001569BE">
      <w:pPr>
        <w:jc w:val="both"/>
        <w:rPr>
          <w:rFonts w:hint="eastAsia"/>
        </w:rPr>
      </w:pPr>
      <w:r>
        <w:t>GAÜN akademik faaliyetler analizinde güçlü bilişim ve uzaktan eğitim altyapısı, akreditasyon kararlılığı, öğrenci değişim olanakları ve sosyal-kültürel altyapı güçlü yönler arasında yer alırken; uluslararası işbirliği yetersizliği, bazı eğitim alanlarında donanım eksikliği ve bölgesel algı sorunları gelişmeye açık alanlar arasında görülmektedir. GSF bu çerçeveyi sanat eğitiminin özgün ihtiyaçlarıyla ele alır.</w:t>
      </w:r>
    </w:p>
    <w:p w:rsidR="001039AB" w:rsidRDefault="001152A6" w:rsidP="001569BE">
      <w:pPr>
        <w:jc w:val="both"/>
        <w:rPr>
          <w:rFonts w:hint="eastAsia"/>
        </w:rPr>
      </w:pPr>
      <w:r>
        <w:t>GSF’de eğitim kalitesinin temel belirleyicileri yalnız ders içeriği değildir. Atölye/stüdyo erişimi, malzeme ve ekipman, eleştiri kültürü, süreç değerlendirme, öğrenci iş yükü, program-ders uyumu, danışmanlık, sergileme ve gerçek proje deneyimi birlikte değerlendirilmelidir.</w:t>
      </w:r>
    </w:p>
    <w:p w:rsidR="001039AB" w:rsidRDefault="001152A6">
      <w:pPr>
        <w:pStyle w:val="Balk2"/>
      </w:pPr>
      <w:r>
        <w:t>2026 baz ölçümünde cevaplanacak sorular</w:t>
      </w:r>
    </w:p>
    <w:p w:rsidR="001039AB" w:rsidRDefault="001152A6">
      <w:pPr>
        <w:pStyle w:val="ListeMaddemi"/>
        <w:spacing w:after="60"/>
        <w:rPr>
          <w:rFonts w:hint="eastAsia"/>
        </w:rPr>
      </w:pPr>
      <w:r>
        <w:t>Program yeterlilikleri son ne zaman ve hangi paydaş girdileriyle güncellendi?</w:t>
      </w:r>
    </w:p>
    <w:p w:rsidR="001039AB" w:rsidRDefault="001152A6">
      <w:pPr>
        <w:pStyle w:val="ListeMaddemi"/>
        <w:spacing w:after="60"/>
        <w:rPr>
          <w:rFonts w:hint="eastAsia"/>
        </w:rPr>
      </w:pPr>
      <w:r>
        <w:t>Ders öğrenme çıktıları ile ölçme yöntemleri ne ölçüde uyumlu?</w:t>
      </w:r>
    </w:p>
    <w:p w:rsidR="001039AB" w:rsidRDefault="001152A6">
      <w:pPr>
        <w:pStyle w:val="ListeMaddemi"/>
        <w:spacing w:after="60"/>
        <w:rPr>
          <w:rFonts w:hint="eastAsia"/>
        </w:rPr>
      </w:pPr>
      <w:r>
        <w:t>Uygulamalı derslerde süreç ve ürün birlikte değerlendiriliyor mu?</w:t>
      </w:r>
    </w:p>
    <w:p w:rsidR="001039AB" w:rsidRDefault="001152A6">
      <w:pPr>
        <w:pStyle w:val="ListeMaddemi"/>
        <w:spacing w:after="60"/>
        <w:rPr>
          <w:rFonts w:hint="eastAsia"/>
        </w:rPr>
      </w:pPr>
      <w:r>
        <w:t>Öğrenci iş yükü ve AKTS gerçek iş yükünü yansıtıyor mu?</w:t>
      </w:r>
    </w:p>
    <w:p w:rsidR="001039AB" w:rsidRDefault="001152A6">
      <w:pPr>
        <w:pStyle w:val="ListeMaddemi"/>
        <w:spacing w:after="60"/>
        <w:rPr>
          <w:rFonts w:hint="eastAsia"/>
        </w:rPr>
      </w:pPr>
      <w:r>
        <w:t>Öğrenciler atölye/stüdyo/teknoloji altyapısına yeterli erişime sahip mi?</w:t>
      </w:r>
    </w:p>
    <w:p w:rsidR="001039AB" w:rsidRDefault="001152A6">
      <w:pPr>
        <w:pStyle w:val="ListeMaddemi"/>
        <w:spacing w:after="60"/>
        <w:rPr>
          <w:rFonts w:hint="eastAsia"/>
        </w:rPr>
      </w:pPr>
      <w:r>
        <w:t>Ders dışı öğrenme ve portfolyo gelişimi programın görünür parçası mı?</w:t>
      </w:r>
    </w:p>
    <w:p w:rsidR="001039AB" w:rsidRDefault="001152A6">
      <w:pPr>
        <w:spacing w:before="100" w:after="20"/>
        <w:rPr>
          <w:rFonts w:hint="eastAsia"/>
        </w:rPr>
      </w:pPr>
      <w:r>
        <w:rPr>
          <w:b/>
          <w:color w:val="5C6F88"/>
          <w:sz w:val="15"/>
        </w:rPr>
        <w:t>05 / ÖĞRENCI</w:t>
      </w:r>
    </w:p>
    <w:p w:rsidR="001039AB" w:rsidRDefault="001152A6">
      <w:pPr>
        <w:pStyle w:val="Balk1"/>
      </w:pPr>
      <w:r>
        <w:t>Öğrenci Deneyimi ve Başarı</w:t>
      </w:r>
    </w:p>
    <w:p w:rsidR="001039AB" w:rsidRDefault="001152A6" w:rsidP="001569BE">
      <w:pPr>
        <w:jc w:val="both"/>
        <w:rPr>
          <w:rFonts w:hint="eastAsia"/>
        </w:rPr>
      </w:pPr>
      <w:r>
        <w:t>Öğrenci deneyimi yalnız memnuniyet anketi değildir. Aday öğrencinin fakülteyi tanıması, kayıt ve uyum süreci, akademik danışmanlık, ders ve atölye deneyimi, geri bildirim, sergileme, mesleki uygulama, mezuniyet portfolyosu ve mezuniyet sonrası ilişki tek bir yolculuk olarak izlenmelidir.</w:t>
      </w:r>
    </w:p>
    <w:p w:rsidR="001039AB" w:rsidRDefault="001152A6" w:rsidP="001569BE">
      <w:pPr>
        <w:jc w:val="both"/>
        <w:rPr>
          <w:rFonts w:hint="eastAsia"/>
        </w:rPr>
      </w:pPr>
      <w:r>
        <w:t>Fakültenin mevcut ders anketleri, uygulamalı/kuramsal ders raporları ve yerinde mesleki eğitim geri bildirimleri bu yaklaşım için güçlü bir başlangıç veri tabanı oluşturur; plan dönemi içinde bu verilerin standart kohort ve eğilim analizine dönüşmesi hedeflenir.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Boyut</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Ölçüm sorusu</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Araç</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Erişim</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Öğrenci gerekli alan ve kaynaklara ulaşabiliyor mu?</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Alan/ekipman anketi + kullanım verisi</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Öğrenme</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Öğrenci ne kadar gelişti?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Rubrik, portfolyo, ders çıktısı</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Geri bildirim</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Öğrenci görüşü karara dönüşüyor mu?</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Anket + PUKÖ kapanış takibi</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Aidiyet</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Fakülteyle bağ ne düzeyde?</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Yıllık deneyim anketi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Mesleki hazırlık</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Mezuniyete hazır mı?</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Portfolyo + dış paydaş değerlendirmesi</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Mezun sonucu</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Yaratıcı alanla bağı sürüyor mu?</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6/18 ay mezun izleme</w:t>
            </w:r>
          </w:p>
        </w:tc>
      </w:tr>
    </w:tbl>
    <w:p w:rsidR="001569BE" w:rsidRDefault="001569BE">
      <w:pPr>
        <w:spacing w:before="100" w:after="20"/>
        <w:rPr>
          <w:rFonts w:hint="eastAsia"/>
          <w:b/>
          <w:color w:val="5C6F88"/>
          <w:sz w:val="15"/>
        </w:rPr>
      </w:pPr>
    </w:p>
    <w:p w:rsidR="001569BE" w:rsidRDefault="001569BE">
      <w:pPr>
        <w:spacing w:before="100" w:after="20"/>
        <w:rPr>
          <w:rFonts w:hint="eastAsia"/>
          <w:b/>
          <w:color w:val="5C6F88"/>
          <w:sz w:val="15"/>
        </w:rPr>
      </w:pPr>
    </w:p>
    <w:p w:rsidR="001569BE" w:rsidRDefault="001569BE">
      <w:pPr>
        <w:spacing w:before="100" w:after="20"/>
        <w:rPr>
          <w:rFonts w:hint="eastAsia"/>
          <w:b/>
          <w:color w:val="5C6F88"/>
          <w:sz w:val="15"/>
        </w:rPr>
      </w:pPr>
    </w:p>
    <w:p w:rsidR="001039AB" w:rsidRDefault="001152A6">
      <w:pPr>
        <w:spacing w:before="100" w:after="20"/>
        <w:rPr>
          <w:rFonts w:hint="eastAsia"/>
        </w:rPr>
      </w:pPr>
      <w:r>
        <w:rPr>
          <w:b/>
          <w:color w:val="5C6F88"/>
          <w:sz w:val="15"/>
        </w:rPr>
        <w:lastRenderedPageBreak/>
        <w:t>05 / ARAŞTIRMA</w:t>
      </w:r>
    </w:p>
    <w:p w:rsidR="001039AB" w:rsidRDefault="001152A6">
      <w:pPr>
        <w:pStyle w:val="Balk1"/>
      </w:pPr>
      <w:r>
        <w:t>Araştırma ve Sanatsal Üretim</w:t>
      </w:r>
    </w:p>
    <w:p w:rsidR="001039AB" w:rsidRDefault="001152A6" w:rsidP="001569BE">
      <w:pPr>
        <w:jc w:val="both"/>
        <w:rPr>
          <w:rFonts w:hint="eastAsia"/>
        </w:rPr>
      </w:pPr>
      <w:r>
        <w:t>GAÜN A1 araştırma kaynaklarının güçlendirilmesini, nitelikli araştırma ve ulusal/uluslararası görünürlüğü temel stratejik alan olarak tanımlar. GSF açısından bu alanın kapsamı bilimsel yayınla sınırlı tutulamaz. Sanatsal araştırma, uygulama temelli araştırma, jürili sergi/gösterim, film, tasarım, performans, küratöryel çalışma ve deneysel yaratıcı teknoloji çıktıları da fakülte araştırma ekosisteminin parçalarıdır.</w:t>
      </w:r>
    </w:p>
    <w:p w:rsidR="001039AB" w:rsidRDefault="001152A6" w:rsidP="001569BE">
      <w:pPr>
        <w:jc w:val="both"/>
        <w:rPr>
          <w:rFonts w:hint="eastAsia"/>
        </w:rPr>
      </w:pPr>
      <w:r>
        <w:t>Plan döneminde en kritik ihtiyaç, bu farklı çıktı türlerini ortak bir nitelik ve kanıt sistemi içinde görünür kılmaktır.</w:t>
      </w:r>
    </w:p>
    <w:p w:rsidR="001569BE" w:rsidRDefault="001569BE">
      <w:pPr>
        <w:spacing w:before="100" w:after="20"/>
        <w:rPr>
          <w:rFonts w:hint="eastAsia"/>
          <w:b/>
          <w:color w:val="5C6F88"/>
          <w:sz w:val="15"/>
        </w:rPr>
      </w:pPr>
    </w:p>
    <w:p w:rsidR="001039AB" w:rsidRDefault="001152A6">
      <w:pPr>
        <w:spacing w:before="100" w:after="20"/>
        <w:rPr>
          <w:rFonts w:hint="eastAsia"/>
        </w:rPr>
      </w:pPr>
      <w:r>
        <w:rPr>
          <w:b/>
          <w:color w:val="5C6F88"/>
          <w:sz w:val="15"/>
        </w:rPr>
        <w:t>05 / TOPLUMSAL KATKI</w:t>
      </w:r>
    </w:p>
    <w:p w:rsidR="001039AB" w:rsidRDefault="001152A6">
      <w:pPr>
        <w:pStyle w:val="Balk1"/>
      </w:pPr>
      <w:r>
        <w:t xml:space="preserve">Gaziantep </w:t>
      </w:r>
      <w:proofErr w:type="spellStart"/>
      <w:r>
        <w:t>ile</w:t>
      </w:r>
      <w:proofErr w:type="spellEnd"/>
      <w:r>
        <w:t xml:space="preserve"> </w:t>
      </w:r>
      <w:proofErr w:type="spellStart"/>
      <w:r>
        <w:t>İlişki</w:t>
      </w:r>
      <w:proofErr w:type="spellEnd"/>
    </w:p>
    <w:p w:rsidR="001039AB" w:rsidRDefault="001152A6" w:rsidP="001569BE">
      <w:pPr>
        <w:jc w:val="both"/>
        <w:rPr>
          <w:rFonts w:hint="eastAsia"/>
        </w:rPr>
      </w:pPr>
      <w:proofErr w:type="spellStart"/>
      <w:proofErr w:type="gramStart"/>
      <w:r>
        <w:t>Gaziantep’in</w:t>
      </w:r>
      <w:proofErr w:type="spellEnd"/>
      <w:r>
        <w:t xml:space="preserve"> </w:t>
      </w:r>
      <w:proofErr w:type="spellStart"/>
      <w:r>
        <w:t>arkeolojik</w:t>
      </w:r>
      <w:proofErr w:type="spellEnd"/>
      <w:r>
        <w:t xml:space="preserve"> </w:t>
      </w:r>
      <w:proofErr w:type="spellStart"/>
      <w:r>
        <w:t>mirası</w:t>
      </w:r>
      <w:proofErr w:type="spellEnd"/>
      <w:r>
        <w:t xml:space="preserve">, </w:t>
      </w:r>
      <w:proofErr w:type="spellStart"/>
      <w:r>
        <w:t>mozaik</w:t>
      </w:r>
      <w:proofErr w:type="spellEnd"/>
      <w:r>
        <w:t xml:space="preserve"> kültürü, zanaat ve dokuma gelenekleri, sanayi yapısı, göç deneyimi, kentleşme dinamikleri ve güçlü yerel yönetim/kültür kurumları GSF için benzersiz bir öğrenme ve araştırma alanıdır.</w:t>
      </w:r>
      <w:proofErr w:type="gramEnd"/>
      <w:r>
        <w:t xml:space="preserve"> Fakülte, kente yalnız etkinlik sunan bir kurum değil; kentle birlikte bilgi ve kültür üreten yaratıcı ortak olarak konumlanmalıdır.</w:t>
      </w:r>
    </w:p>
    <w:p w:rsidR="001039AB" w:rsidRDefault="001152A6" w:rsidP="001569BE">
      <w:pPr>
        <w:jc w:val="both"/>
        <w:rPr>
          <w:rFonts w:hint="eastAsia"/>
        </w:rPr>
      </w:pPr>
      <w:r>
        <w:t>Toplumsal katkı bu nedenle yalnız etkinlik sayısıyla değil; süreklilik, erişilen kitle, paydaş memnuniyeti, öğrenci öğrenmesi, tekrar eden ortaklık ve somut kültürel çıktı üzerinden ölçülecektir.</w:t>
      </w:r>
    </w:p>
    <w:p w:rsidR="001569BE" w:rsidRDefault="001569BE">
      <w:pPr>
        <w:spacing w:before="100" w:after="20"/>
        <w:rPr>
          <w:rFonts w:hint="eastAsia"/>
          <w:b/>
          <w:color w:val="5C6F88"/>
          <w:sz w:val="15"/>
        </w:rPr>
      </w:pPr>
    </w:p>
    <w:p w:rsidR="001039AB" w:rsidRDefault="001152A6">
      <w:pPr>
        <w:spacing w:before="100" w:after="20"/>
        <w:rPr>
          <w:rFonts w:hint="eastAsia"/>
        </w:rPr>
      </w:pPr>
      <w:r>
        <w:rPr>
          <w:b/>
          <w:color w:val="5C6F88"/>
          <w:sz w:val="15"/>
        </w:rPr>
        <w:t>05 / KURUMSAL SISTEM</w:t>
      </w:r>
    </w:p>
    <w:p w:rsidR="001039AB" w:rsidRDefault="001152A6">
      <w:pPr>
        <w:pStyle w:val="Balk1"/>
      </w:pPr>
      <w:r>
        <w:t>Kalite Güvencesi ve Kurumsal Hafıza</w:t>
      </w:r>
    </w:p>
    <w:p w:rsidR="001039AB" w:rsidRDefault="001152A6" w:rsidP="001569BE">
      <w:pPr>
        <w:jc w:val="both"/>
        <w:rPr>
          <w:rFonts w:hint="eastAsia"/>
        </w:rPr>
      </w:pPr>
      <w:r>
        <w:t>GSF Kalite Güvence Sistemi; eğitim-öğretim, araştırma ve sanatsal üretim, öğrenci deneyimi, toplumsal/kültürel katkı, uluslararasılaşma ve yönetişim alanlarını ortak bir kalite halkasında PUKÖ, veri, kanıt, paydaş ve iyileştirme ile ilişkilendirmektedir. Bu stratejik plan, söz konusu kalite sisteminin uzun vadeli hedef katmanıdır.</w:t>
      </w:r>
    </w:p>
    <w:p w:rsidR="001039AB" w:rsidRDefault="001152A6" w:rsidP="001569BE">
      <w:pPr>
        <w:jc w:val="both"/>
        <w:rPr>
          <w:rFonts w:hint="eastAsia"/>
        </w:rPr>
      </w:pPr>
      <w:r>
        <w:t>Fakülte Kalite Kurulu, BEK, Ölçme ve Değerlendirme, Ders ve Sınav Programları ile Eğitim Alanları, AKTS, Projeler, Sanat ve Kültürel Faaliyetler, Değişim Programları ve TDP koordinatörlükleri ile bölüm başkanlıkları ve idari birimler tarafından üretilen raporların ortak bir gösterge ve kanıt mimarisine bağlanması kurumsal hafızanın temel koşuludur.</w:t>
      </w:r>
    </w:p>
    <w:p w:rsidR="001569BE" w:rsidRDefault="001569BE">
      <w:pPr>
        <w:spacing w:before="100" w:after="20"/>
        <w:rPr>
          <w:rFonts w:hint="eastAsia"/>
          <w:b/>
          <w:color w:val="5C6F88"/>
          <w:sz w:val="15"/>
        </w:rPr>
      </w:pPr>
    </w:p>
    <w:p w:rsidR="001039AB" w:rsidRDefault="001152A6">
      <w:pPr>
        <w:spacing w:before="100" w:after="20"/>
        <w:rPr>
          <w:rFonts w:hint="eastAsia"/>
        </w:rPr>
      </w:pPr>
      <w:r>
        <w:rPr>
          <w:b/>
          <w:color w:val="5C6F88"/>
          <w:sz w:val="15"/>
        </w:rPr>
        <w:t>06 / PAYDAŞ</w:t>
      </w:r>
    </w:p>
    <w:p w:rsidR="001039AB" w:rsidRDefault="001152A6">
      <w:pPr>
        <w:pStyle w:val="Balk1"/>
      </w:pPr>
      <w:r>
        <w:t>Paydaş ve Öğrenci Deneyimi Analizi</w:t>
      </w:r>
    </w:p>
    <w:p w:rsidR="001039AB" w:rsidRDefault="001152A6" w:rsidP="001569BE">
      <w:pPr>
        <w:jc w:val="both"/>
        <w:rPr>
          <w:rFonts w:hint="eastAsia"/>
        </w:rPr>
      </w:pPr>
      <w:r>
        <w:t>GAÜN stratejik planı paydaşların kurumun amaçlarına ulaşmasındaki etkisini kabul eder ve görüşlerinin planlamaya yansıtılmasını esas alır. GSF’de paydaşlık, sanat ve tasarım eğitiminin doğası gereği daha geniş bir ekosistemi kapsar.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Paydaş</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Beklenti / katkı</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Katılım yöntemi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Öğrenciler</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Nitelikli eğitim, alan, geri bildirim, görünürlük, mesleki hazırlık</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Anket, odak grup, kurul/komisyon katılımı, proje değerlendirme</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Akademik personel</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Kaynak, gelişim, araştırma, adil işleyiş</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Çalıştay, öz değerlendirme, bölüm toplantısı</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İdari personel</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Açık görev, iş akışı, dijital kolaylık</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Süreç analizi, memnuniyet, öneri</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Mezunlar</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Ağ, görünürlük, sürekli ilişki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6/18 ay izleme, mentorluk, mezun buluşması</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Yerel yönetimler</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Kültürel üretim ve toplumsal etki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Çok yıllı ortak proje</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Yaratıcı endüstriler</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Nitelikli mezun, proje, yenilik</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Danışma kurulu, brief, yerinde eğitim</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Kültür kurumları</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İçerik, sergi, araştırma, izleyici geliştirme</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Ortak program ve proje</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Uluslararası ortaklar</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Ortak üretim, araştırma, hareketlilik</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Ortak stüdyo, proje, sergi</w:t>
            </w:r>
          </w:p>
        </w:tc>
      </w:tr>
    </w:tbl>
    <w:p w:rsidR="001569BE" w:rsidRDefault="001569BE">
      <w:pPr>
        <w:spacing w:before="100" w:after="20"/>
        <w:rPr>
          <w:rFonts w:hint="eastAsia"/>
          <w:b/>
          <w:color w:val="5C6F88"/>
          <w:sz w:val="15"/>
        </w:rPr>
      </w:pPr>
    </w:p>
    <w:p w:rsidR="001039AB" w:rsidRDefault="001152A6">
      <w:pPr>
        <w:spacing w:before="100" w:after="20"/>
        <w:rPr>
          <w:rFonts w:hint="eastAsia"/>
        </w:rPr>
      </w:pPr>
      <w:r>
        <w:rPr>
          <w:b/>
          <w:color w:val="5C6F88"/>
          <w:sz w:val="15"/>
        </w:rPr>
        <w:t>06 / ÖĞRENCI YOLCULUĞU</w:t>
      </w:r>
    </w:p>
    <w:p w:rsidR="001039AB" w:rsidRDefault="001152A6">
      <w:pPr>
        <w:pStyle w:val="Balk1"/>
      </w:pPr>
      <w:r>
        <w:t>Aday Öğrenciden Mezuna</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Aşama</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Stratejik soru</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Başarı kanıtı</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Fark etme</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GSF neden tercih edilmeli?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Tanıtım erişimi, başvuru niteliği</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Başvuru/kabul</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Süreç açık ve erişilebilir mi?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Başvuru dönüşümü, süreç memnuniyeti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lastRenderedPageBreak/>
              <w:t>Uyum</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İlk yıl öğrencisi fakülte kültürüne katılıyor mu?</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Oryantasyon + ilk yıl devamı</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Öğrenme</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Program gelişim sağlıyor mu?</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Ders çıktısı + portfolyo</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Katılım</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Öğrenci üretim ve karara katılıyor mu?</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Proje/sergi/geri bildirim</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Mesleki deneyim</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Gerçek bağlamda üretim yapıyor mu?</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Yerinde eğitim + dış paydaş</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Mezuniyet</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Güçlü portfolyo ve mesleki hazırlık var mı?</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4"/>
              </w:rPr>
              <w:t>Portfolyo jürisi</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Mezun</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Yaratıcı alanla ilişki sürüyor mu?</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6/18 ay izleme</w:t>
            </w:r>
          </w:p>
        </w:tc>
      </w:tr>
    </w:tbl>
    <w:p w:rsidR="001569BE" w:rsidRDefault="001569BE">
      <w:pPr>
        <w:spacing w:before="100" w:after="20"/>
        <w:rPr>
          <w:rFonts w:hint="eastAsia"/>
          <w:b/>
          <w:color w:val="5C6F88"/>
          <w:sz w:val="15"/>
        </w:rPr>
      </w:pPr>
    </w:p>
    <w:p w:rsidR="001039AB" w:rsidRDefault="001152A6">
      <w:pPr>
        <w:spacing w:before="100" w:after="20"/>
        <w:rPr>
          <w:rFonts w:hint="eastAsia"/>
        </w:rPr>
      </w:pPr>
      <w:r>
        <w:rPr>
          <w:b/>
          <w:color w:val="5C6F88"/>
          <w:sz w:val="15"/>
        </w:rPr>
        <w:t>06 / GER</w:t>
      </w:r>
      <w:r w:rsidR="001569BE">
        <w:rPr>
          <w:b/>
          <w:color w:val="5C6F88"/>
          <w:sz w:val="15"/>
        </w:rPr>
        <w:t>İ</w:t>
      </w:r>
      <w:r>
        <w:rPr>
          <w:b/>
          <w:color w:val="5C6F88"/>
          <w:sz w:val="15"/>
        </w:rPr>
        <w:t xml:space="preserve"> B</w:t>
      </w:r>
      <w:r w:rsidR="001569BE">
        <w:rPr>
          <w:b/>
          <w:color w:val="5C6F88"/>
          <w:sz w:val="15"/>
        </w:rPr>
        <w:t>İ</w:t>
      </w:r>
      <w:r>
        <w:rPr>
          <w:b/>
          <w:color w:val="5C6F88"/>
          <w:sz w:val="15"/>
        </w:rPr>
        <w:t>LD</w:t>
      </w:r>
      <w:r w:rsidR="001569BE">
        <w:rPr>
          <w:b/>
          <w:color w:val="5C6F88"/>
          <w:sz w:val="15"/>
        </w:rPr>
        <w:t>İ</w:t>
      </w:r>
      <w:r>
        <w:rPr>
          <w:b/>
          <w:color w:val="5C6F88"/>
          <w:sz w:val="15"/>
        </w:rPr>
        <w:t>R</w:t>
      </w:r>
      <w:r w:rsidR="001569BE">
        <w:rPr>
          <w:b/>
          <w:color w:val="5C6F88"/>
          <w:sz w:val="15"/>
        </w:rPr>
        <w:t>İ</w:t>
      </w:r>
      <w:r>
        <w:rPr>
          <w:b/>
          <w:color w:val="5C6F88"/>
          <w:sz w:val="15"/>
        </w:rPr>
        <w:t>M</w:t>
      </w:r>
    </w:p>
    <w:p w:rsidR="001039AB" w:rsidRDefault="001152A6">
      <w:pPr>
        <w:pStyle w:val="Balk1"/>
      </w:pPr>
      <w:r>
        <w:t>“Siz Söylediniz - Biz Yaptık” Döngüsü</w:t>
      </w:r>
    </w:p>
    <w:p w:rsidR="001039AB" w:rsidRDefault="001152A6">
      <w:pPr>
        <w:rPr>
          <w:rFonts w:hint="eastAsia"/>
        </w:rPr>
      </w:pPr>
      <w:r>
        <w:t>Geri bildirim toplamak tek başına öğrenci merkezlilik değildir. Her önemli geri bildirim konusu; veri, karar, sorumlu, termin, uygulama kanıtı ve sonuç kanıtı ile izlenmelidir. Sonuç öğrenciye görünür biçimde geri bildirilmelidir.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Aşama</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İşlem</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1. Topla</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Ders, danışmanlık, alan, mesleki uygulama, etkinlik ve genel deneyim verisi.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2. Analiz et</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Tekil yorumdan eğilim ve neden analizi üret.</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3. Önceliklendir</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Etkisi ve uygulanabilirliği yüksek konuları seç.</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4. Karar ver</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Sorumlu, termin ve başarı ölçütü tanımla.</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5. Uygula</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İyileştirme faaliyetini gerçekleştir ve kanıtla.</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6. Yeniden ölç</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Sonuç değişti mi?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7. Kapat / yeniden planla</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Kanıt yeterliyse kapat; değilse yeni döngü aç.</w:t>
            </w:r>
          </w:p>
        </w:tc>
      </w:tr>
    </w:tbl>
    <w:p w:rsidR="001039AB" w:rsidRDefault="001152A6">
      <w:pPr>
        <w:spacing w:before="100" w:after="20"/>
        <w:rPr>
          <w:rFonts w:hint="eastAsia"/>
        </w:rPr>
      </w:pPr>
      <w:r>
        <w:rPr>
          <w:b/>
          <w:color w:val="5C6F88"/>
          <w:sz w:val="15"/>
        </w:rPr>
        <w:t>06 / MEZUN</w:t>
      </w:r>
    </w:p>
    <w:p w:rsidR="001039AB" w:rsidRDefault="001152A6">
      <w:pPr>
        <w:pStyle w:val="Balk1"/>
      </w:pPr>
      <w:r>
        <w:t>Mezun İzleme Sistemi</w:t>
      </w:r>
    </w:p>
    <w:p w:rsidR="001039AB" w:rsidRDefault="001152A6">
      <w:pPr>
        <w:rPr>
          <w:rFonts w:hint="eastAsia"/>
        </w:rPr>
      </w:pPr>
      <w:r>
        <w:t>Mezun izleme, yalnız “iş buldu mu?” sorusuna indirgenmeyecektir. Güzel sanatlar alanında serbest çalışma, bağımsız sanat üretimi, proje bazlı çalışma, lisansüstü eğitim, kültür kurumu, yaratıcı sektör, girişimcilik ve karma kariyer modelleri birlikte izlenmelidir.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Gösterge</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6. ay</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18. ay</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Yaratıcı alanla ilişkili faaliyet</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İlk geçiş</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Süreklilik</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Portfolyo güncelliği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Var/yok</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Gelişim düzeyi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Sergi/proje/iş deneyimi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Başlangıç</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Çeşitlilik ve süreklilik</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Lisansüstü eğitim</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Başvuru/kayıt</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Devam</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Fakülteyle bağ</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Mezun ağı</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6"/>
              </w:rPr>
              <w:t>Mentorluk/ortaklık</w:t>
            </w:r>
          </w:p>
        </w:tc>
      </w:tr>
    </w:tbl>
    <w:p w:rsidR="00CA23B2" w:rsidRDefault="00CA23B2">
      <w:pPr>
        <w:spacing w:before="100" w:after="20"/>
        <w:rPr>
          <w:rFonts w:hint="eastAsia"/>
          <w:b/>
          <w:color w:val="5C6F88"/>
          <w:sz w:val="15"/>
        </w:rPr>
      </w:pPr>
    </w:p>
    <w:p w:rsidR="001039AB" w:rsidRDefault="001152A6">
      <w:pPr>
        <w:spacing w:before="100" w:after="20"/>
        <w:rPr>
          <w:rFonts w:hint="eastAsia"/>
        </w:rPr>
      </w:pPr>
      <w:r>
        <w:rPr>
          <w:b/>
          <w:color w:val="5C6F88"/>
          <w:sz w:val="15"/>
        </w:rPr>
        <w:t>07 / KAPASITE</w:t>
      </w:r>
    </w:p>
    <w:p w:rsidR="001039AB" w:rsidRDefault="001152A6">
      <w:pPr>
        <w:pStyle w:val="Balk1"/>
      </w:pPr>
      <w:r>
        <w:t>İnsan Kaynağı, Eğitim Alanları ve Teknoloji</w:t>
      </w:r>
    </w:p>
    <w:p w:rsidR="001039AB" w:rsidRDefault="001152A6" w:rsidP="00CA23B2">
      <w:pPr>
        <w:jc w:val="both"/>
        <w:rPr>
          <w:rFonts w:hint="eastAsia"/>
        </w:rPr>
      </w:pPr>
      <w:r>
        <w:t>GAÜN planı nitelikli insan kaynağını kurumsal başarının temel faktörü olarak görür; eğitim laboratuvarı ve atölyelerin teknolojik gelişmelere paralel yenilenmesini ihtiyaç olarak tanımlar. GSF’de insan kaynağı ve fiziksel altyapı, sanat eğitiminin doğrudan pedagojik bileşenidir.</w:t>
      </w:r>
    </w:p>
    <w:p w:rsidR="00CA23B2" w:rsidRDefault="00CA23B2">
      <w:pPr>
        <w:spacing w:before="100" w:after="20"/>
        <w:rPr>
          <w:rFonts w:hint="eastAsia"/>
          <w:b/>
          <w:color w:val="5C6F88"/>
          <w:sz w:val="15"/>
        </w:rPr>
      </w:pPr>
    </w:p>
    <w:p w:rsidR="001039AB" w:rsidRDefault="001152A6">
      <w:pPr>
        <w:spacing w:before="100" w:after="20"/>
        <w:rPr>
          <w:rFonts w:hint="eastAsia"/>
        </w:rPr>
      </w:pPr>
      <w:r>
        <w:rPr>
          <w:b/>
          <w:color w:val="5C6F88"/>
          <w:sz w:val="15"/>
        </w:rPr>
        <w:t>07 / İNSAN KAYNAĞI</w:t>
      </w:r>
    </w:p>
    <w:p w:rsidR="001039AB" w:rsidRDefault="001152A6">
      <w:pPr>
        <w:pStyle w:val="Balk1"/>
      </w:pPr>
      <w:r>
        <w:t>Akademik ve İdari Kapasite</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Boyut</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İzlenecek konu</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Ölçüm</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Akademik dağılım</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Bölüm ve uzmanlık alanı dengesi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Kadro/iş yükü analizi</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Eğitici gelişimi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Pedagoji, ölçme, AI, erişilebilirlik</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Yıllık gelişim planı ve katılım</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lastRenderedPageBreak/>
              <w:t>Araştırma kapasitesi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Proje/yayın/sanatsal araştırma</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Üretim envanteri</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Teknik destek</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Atölye/lab teknik ihtiyaçları</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İş analizi ve hizmet süreleri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İdari süreç</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İş akışı ve dijitalleşme</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Süre, hata, memnuniyet</w:t>
            </w:r>
          </w:p>
        </w:tc>
      </w:tr>
    </w:tbl>
    <w:p w:rsidR="001039AB" w:rsidRDefault="001152A6">
      <w:pPr>
        <w:spacing w:before="100" w:after="20"/>
        <w:rPr>
          <w:rFonts w:hint="eastAsia"/>
        </w:rPr>
      </w:pPr>
      <w:r>
        <w:rPr>
          <w:b/>
          <w:color w:val="5C6F88"/>
          <w:sz w:val="15"/>
        </w:rPr>
        <w:t>07 / EĞITIM ALANLARI</w:t>
      </w:r>
    </w:p>
    <w:p w:rsidR="001039AB" w:rsidRDefault="001152A6">
      <w:pPr>
        <w:pStyle w:val="Balk1"/>
      </w:pPr>
      <w:r>
        <w:t>Eğitim Alanları Yönetim Modeli</w:t>
      </w:r>
    </w:p>
    <w:p w:rsidR="001039AB" w:rsidRDefault="001152A6" w:rsidP="00CA23B2">
      <w:pPr>
        <w:jc w:val="both"/>
        <w:rPr>
          <w:rFonts w:hint="eastAsia"/>
        </w:rPr>
      </w:pPr>
      <w:r>
        <w:t>Derslik, atölye, laboratuvar, stüdyo ve ortak eğitim alanları yalnız fiziksel envanter olarak değil; kapasite, donanım, erişilebilirlik, amaç uygunluğu ve fiilî kullanım verisiyle yönetilecektir. Bölümler “oda talebi” değil, eğitim ihtiyacı bildirir; alan tahsisi fakülte bütününde rasyonel kullanım ilkesiyle yapılır.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Alan verisi</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Tanım</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Kapasite</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Güvenli ve pedagojik olarak uygun öğrenci sayısı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Donanım</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Dersin gerektirdiği sabit/taşınabilir altyapı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Erişilebilirlik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Fiziksel ve kullanım erişilebilirliği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Kullanılabilir saat</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Haftalık planlanabilir süre</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Fiilî kullanım</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Gerçekleşen ders/sınav/faaliyet saati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Doluluk oranı</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Fiilî kullanım / kullanılabilir süre</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Yoğunluk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Kapasiteye göre öğrenci kullanımı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Bakım ihtiyacı</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Teknik/idari müdahale gereksinimi</w:t>
            </w:r>
          </w:p>
        </w:tc>
      </w:tr>
    </w:tbl>
    <w:p w:rsidR="001152A6" w:rsidRDefault="001152A6">
      <w:pPr>
        <w:spacing w:before="100" w:after="20"/>
        <w:rPr>
          <w:rFonts w:hint="eastAsia"/>
          <w:b/>
          <w:color w:val="5C6F88"/>
          <w:sz w:val="15"/>
        </w:rPr>
      </w:pPr>
    </w:p>
    <w:p w:rsidR="001039AB" w:rsidRDefault="001152A6">
      <w:pPr>
        <w:spacing w:before="100" w:after="20"/>
        <w:rPr>
          <w:rFonts w:hint="eastAsia"/>
        </w:rPr>
      </w:pPr>
      <w:r>
        <w:rPr>
          <w:b/>
          <w:color w:val="5C6F88"/>
          <w:sz w:val="15"/>
        </w:rPr>
        <w:t>07 / PROGRAMLAMA</w:t>
      </w:r>
    </w:p>
    <w:p w:rsidR="001039AB" w:rsidRDefault="001152A6">
      <w:pPr>
        <w:pStyle w:val="Balk1"/>
      </w:pPr>
      <w:r>
        <w:t>Ders ve Sınav Programlarında Kalite</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Gösterge</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Amaç</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Kesin programdaki çakışma</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Hedef: 0</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Yayın sonrası değişiklik oranı</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Plan kalitesini ölçmek</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Alan kaynaklı değişiklik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Altyapı-program uyumunu izlemek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Öğrenci günlük aşırı yük</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Öğrenci merkezli programlama</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Bölüm veri teslim zamanlılığı</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Süreç disiplinini ölçmek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Ortak alan kullanım oranı</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Kaynak verimliliğini ölçmek</w:t>
            </w:r>
          </w:p>
        </w:tc>
      </w:tr>
    </w:tbl>
    <w:p w:rsidR="001152A6" w:rsidRDefault="001152A6">
      <w:pPr>
        <w:spacing w:before="100" w:after="20"/>
        <w:rPr>
          <w:rFonts w:hint="eastAsia"/>
          <w:b/>
          <w:color w:val="5C6F88"/>
          <w:sz w:val="15"/>
        </w:rPr>
      </w:pPr>
    </w:p>
    <w:p w:rsidR="001039AB" w:rsidRDefault="001152A6">
      <w:pPr>
        <w:spacing w:before="100" w:after="20"/>
        <w:rPr>
          <w:rFonts w:hint="eastAsia"/>
        </w:rPr>
      </w:pPr>
      <w:r>
        <w:rPr>
          <w:b/>
          <w:color w:val="5C6F88"/>
          <w:sz w:val="15"/>
        </w:rPr>
        <w:t>07 / TEKNOLOJI</w:t>
      </w:r>
    </w:p>
    <w:p w:rsidR="001039AB" w:rsidRDefault="001152A6">
      <w:pPr>
        <w:pStyle w:val="Balk1"/>
      </w:pPr>
      <w:r>
        <w:t>Yaratıcı Teknoloji Altyapısı</w:t>
      </w:r>
    </w:p>
    <w:p w:rsidR="001039AB" w:rsidRDefault="001152A6" w:rsidP="00FE5414">
      <w:pPr>
        <w:jc w:val="both"/>
        <w:rPr>
          <w:rFonts w:hint="eastAsia"/>
        </w:rPr>
      </w:pPr>
      <w:r>
        <w:t>Teknoloji yatırımı “cihaz satın alma” olarak değil, öğrenme ve üretim kapasitesi olarak değerlendirilmelidir. Her yatırım için kullanım senaryosu, öğrenci erişimi, bakım/sürdürülebilirlik, öğretim elemanı yetkinliği ve beklenen çıktı tanımlanacaktır.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Katman</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Örnek ihtiyaç</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Başarı ölçütü</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Temel dijital</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Bilgisayar, ekran, ağ, depolama</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Erişim ve kesintisizlik</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Üretim</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Görüntü, ses, video, baskı, modelleme</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Öğrenci kullanım saati + çıktı</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Onaylı araçlar, eğitim, veri güvenliği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Okuryazarlık + etik uyum</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Arşiv</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Dijital eser/kanıt arşivi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Kayıt oranı ve erişilebilirlik</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Ortak lab</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Disiplinlerarası yaratıcı teknoloji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Ortak proje sayısı</w:t>
            </w:r>
          </w:p>
        </w:tc>
      </w:tr>
    </w:tbl>
    <w:p w:rsidR="00FE5414" w:rsidRDefault="00FE5414">
      <w:pPr>
        <w:spacing w:before="100" w:after="20"/>
        <w:rPr>
          <w:rFonts w:hint="eastAsia"/>
          <w:b/>
          <w:color w:val="5C6F88"/>
          <w:sz w:val="15"/>
        </w:rPr>
      </w:pPr>
    </w:p>
    <w:p w:rsidR="00FE5414" w:rsidRDefault="00FE5414">
      <w:pPr>
        <w:spacing w:before="100" w:after="20"/>
        <w:rPr>
          <w:rFonts w:hint="eastAsia"/>
          <w:b/>
          <w:color w:val="5C6F88"/>
          <w:sz w:val="15"/>
        </w:rPr>
      </w:pPr>
    </w:p>
    <w:p w:rsidR="00FE5414" w:rsidRDefault="00FE5414">
      <w:pPr>
        <w:spacing w:before="100" w:after="20"/>
        <w:rPr>
          <w:rFonts w:hint="eastAsia"/>
          <w:b/>
          <w:color w:val="5C6F88"/>
          <w:sz w:val="15"/>
        </w:rPr>
      </w:pPr>
    </w:p>
    <w:p w:rsidR="00FE5414" w:rsidRDefault="00FE5414">
      <w:pPr>
        <w:spacing w:before="100" w:after="20"/>
        <w:rPr>
          <w:rFonts w:hint="eastAsia"/>
          <w:b/>
          <w:color w:val="5C6F88"/>
          <w:sz w:val="15"/>
        </w:rPr>
      </w:pPr>
    </w:p>
    <w:p w:rsidR="001039AB" w:rsidRDefault="001152A6">
      <w:pPr>
        <w:spacing w:before="100" w:after="20"/>
        <w:rPr>
          <w:rFonts w:hint="eastAsia"/>
        </w:rPr>
      </w:pPr>
      <w:r>
        <w:rPr>
          <w:b/>
          <w:color w:val="5C6F88"/>
          <w:sz w:val="15"/>
        </w:rPr>
        <w:lastRenderedPageBreak/>
        <w:t>08 / ÜRETIM</w:t>
      </w:r>
    </w:p>
    <w:p w:rsidR="001039AB" w:rsidRDefault="001152A6">
      <w:pPr>
        <w:pStyle w:val="Balk1"/>
      </w:pPr>
      <w:r>
        <w:t>Akademik Faaliyetler ve Sanatsal Üretim</w:t>
      </w:r>
    </w:p>
    <w:p w:rsidR="001039AB" w:rsidRDefault="001152A6">
      <w:pPr>
        <w:rPr>
          <w:rFonts w:hint="eastAsia"/>
        </w:rPr>
      </w:pPr>
      <w:r>
        <w:t>Fakültenin akademik performansı; bilimsel yayın, sanatsal üretim, araştırma projesi, lisansüstü eğitim, toplumsal katkı ve öğrenci üretiminin birlikte değerlendirilmesini gerektirir. Sanat alanında yalnız nicelik kullanmak kaliteyi görünmez kılabilir; yalnız nitel kanaat kullanmak ise izlenebilirliği zayıflatır. Bu nedenle karma sınıflama sistemi kullanılacaktır.</w:t>
      </w:r>
    </w:p>
    <w:p w:rsidR="00FE5414" w:rsidRDefault="00FE5414">
      <w:pPr>
        <w:spacing w:before="100" w:after="20"/>
        <w:rPr>
          <w:rFonts w:hint="eastAsia"/>
          <w:b/>
          <w:color w:val="5C6F88"/>
          <w:sz w:val="15"/>
        </w:rPr>
      </w:pPr>
    </w:p>
    <w:p w:rsidR="001039AB" w:rsidRDefault="001152A6">
      <w:pPr>
        <w:spacing w:before="100" w:after="20"/>
        <w:rPr>
          <w:rFonts w:hint="eastAsia"/>
        </w:rPr>
      </w:pPr>
      <w:r>
        <w:rPr>
          <w:b/>
          <w:color w:val="5C6F88"/>
          <w:sz w:val="15"/>
        </w:rPr>
        <w:t>08 / SANATSAL ÇIKTI</w:t>
      </w:r>
    </w:p>
    <w:p w:rsidR="001039AB" w:rsidRDefault="001152A6">
      <w:pPr>
        <w:pStyle w:val="Balk1"/>
      </w:pPr>
      <w:r>
        <w:t>Sanatsal Üretim Nitelik Sınıflaması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Düzey</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Örnek nitelik</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Kanıt</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Uluslararası jürili/seçkili, güçlü kurumsal görünürlük</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Kabul, katalog, kurum kaydı</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B</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Ulusal jürili/seçkili veya saygın kurumsal etkinlik</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Katalog/kurum kaydı</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C</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Bölgesel/kurumsal seçkili üretim</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Program/katalog</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Eğitim içi öğrenci/atölye üretimi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Ders/sergi kaydı</w:t>
            </w:r>
          </w:p>
        </w:tc>
      </w:tr>
    </w:tbl>
    <w:p w:rsidR="001039AB" w:rsidRDefault="001152A6">
      <w:pPr>
        <w:rPr>
          <w:rFonts w:hint="eastAsia"/>
        </w:rPr>
      </w:pPr>
      <w:r>
        <w:t>Bu sınıflama puanlama amacıyla değil, fakültenin üretim profilini yıllar içinde karşılaştırmak için kullanılacaktır. Disiplinlerin farklı görünürlük biçimleri ayrıca dikkate alınacaktır.</w:t>
      </w:r>
    </w:p>
    <w:p w:rsidR="00FE5414" w:rsidRDefault="00FE5414">
      <w:pPr>
        <w:spacing w:before="100" w:after="20"/>
        <w:rPr>
          <w:rFonts w:hint="eastAsia"/>
          <w:b/>
          <w:color w:val="5C6F88"/>
          <w:sz w:val="15"/>
        </w:rPr>
      </w:pPr>
    </w:p>
    <w:p w:rsidR="001039AB" w:rsidRDefault="001152A6">
      <w:pPr>
        <w:spacing w:before="100" w:after="20"/>
        <w:rPr>
          <w:rFonts w:hint="eastAsia"/>
        </w:rPr>
      </w:pPr>
      <w:r>
        <w:rPr>
          <w:b/>
          <w:color w:val="5C6F88"/>
          <w:sz w:val="15"/>
        </w:rPr>
        <w:t>08 / ARAŞTIRMA</w:t>
      </w:r>
    </w:p>
    <w:p w:rsidR="001039AB" w:rsidRDefault="001152A6">
      <w:pPr>
        <w:pStyle w:val="Balk1"/>
      </w:pPr>
      <w:r>
        <w:t>Sanatsal Araştırma Çerçevesi</w:t>
      </w:r>
    </w:p>
    <w:p w:rsidR="001039AB" w:rsidRDefault="001152A6">
      <w:pPr>
        <w:pStyle w:val="ListeMaddemi"/>
        <w:spacing w:after="60"/>
        <w:rPr>
          <w:rFonts w:hint="eastAsia"/>
        </w:rPr>
      </w:pPr>
      <w:r>
        <w:t>Araştırma sorusu veya açık problem içerir.</w:t>
      </w:r>
    </w:p>
    <w:p w:rsidR="001039AB" w:rsidRDefault="001152A6">
      <w:pPr>
        <w:pStyle w:val="ListeMaddemi"/>
        <w:spacing w:after="60"/>
        <w:rPr>
          <w:rFonts w:hint="eastAsia"/>
        </w:rPr>
      </w:pPr>
      <w:r>
        <w:t>Süreç ve yöntem görünürdür.</w:t>
      </w:r>
    </w:p>
    <w:p w:rsidR="001039AB" w:rsidRDefault="001152A6">
      <w:pPr>
        <w:pStyle w:val="ListeMaddemi"/>
        <w:spacing w:after="60"/>
        <w:rPr>
          <w:rFonts w:hint="eastAsia"/>
        </w:rPr>
      </w:pPr>
      <w:r>
        <w:t>Bağlam ve kaynak ilişkisi kuruludur.</w:t>
      </w:r>
    </w:p>
    <w:p w:rsidR="001039AB" w:rsidRDefault="001152A6">
      <w:pPr>
        <w:pStyle w:val="ListeMaddemi"/>
        <w:spacing w:after="60"/>
        <w:rPr>
          <w:rFonts w:hint="eastAsia"/>
        </w:rPr>
      </w:pPr>
      <w:r>
        <w:t>Üretim yalnız sonuç değil, bilgi üretme aracıdır.</w:t>
      </w:r>
    </w:p>
    <w:p w:rsidR="001039AB" w:rsidRDefault="001152A6">
      <w:pPr>
        <w:pStyle w:val="ListeMaddemi"/>
        <w:spacing w:after="60"/>
        <w:rPr>
          <w:rFonts w:hint="eastAsia"/>
        </w:rPr>
      </w:pPr>
      <w:r>
        <w:t>Çıktı eser, sergi, film, tasarım, performans, yayın veya bunların birleşimi olabilir.</w:t>
      </w:r>
    </w:p>
    <w:p w:rsidR="001039AB" w:rsidRDefault="001152A6">
      <w:pPr>
        <w:pStyle w:val="ListeMaddemi"/>
        <w:spacing w:after="60"/>
        <w:rPr>
          <w:rFonts w:hint="eastAsia"/>
        </w:rPr>
      </w:pPr>
      <w:r>
        <w:t>Süreç uygun biçimde belgelenir ve arşivlenir.</w:t>
      </w:r>
    </w:p>
    <w:p w:rsidR="001039AB" w:rsidRDefault="001152A6">
      <w:pPr>
        <w:spacing w:before="100" w:after="20"/>
        <w:rPr>
          <w:rFonts w:hint="eastAsia"/>
        </w:rPr>
      </w:pPr>
      <w:r>
        <w:rPr>
          <w:b/>
          <w:color w:val="5C6F88"/>
          <w:sz w:val="15"/>
        </w:rPr>
        <w:t>08 / LISANSÜSTÜ</w:t>
      </w:r>
    </w:p>
    <w:p w:rsidR="001039AB" w:rsidRDefault="001152A6">
      <w:pPr>
        <w:pStyle w:val="Balk1"/>
      </w:pPr>
      <w:r>
        <w:t>Lisansüstü Eğitimle Araştırma Bağı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Hedef</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Uygulama</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Araştırma kültürü</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Tez/proje seminerleri ve akran analizi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Sanatsal araştırma</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Uygulama temelli yöntem eğitimi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Görünürlük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Lisansüstü öğrenci sergi/yayın/proje desteği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Uluslararasılaşma</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Ortak kritik, misafir akademisyen, proje ağı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Etik/AI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Araştırma ve yaratıcı üretimde beyan, veri ve telif ilkeleri</w:t>
            </w:r>
          </w:p>
        </w:tc>
      </w:tr>
    </w:tbl>
    <w:p w:rsidR="00FE5414" w:rsidRDefault="00FE5414">
      <w:pPr>
        <w:spacing w:before="100" w:after="20"/>
        <w:rPr>
          <w:rFonts w:hint="eastAsia"/>
          <w:b/>
          <w:color w:val="5C6F88"/>
          <w:sz w:val="15"/>
        </w:rPr>
      </w:pPr>
    </w:p>
    <w:p w:rsidR="001039AB" w:rsidRDefault="001152A6">
      <w:pPr>
        <w:spacing w:before="100" w:after="20"/>
        <w:rPr>
          <w:rFonts w:hint="eastAsia"/>
        </w:rPr>
      </w:pPr>
      <w:r>
        <w:rPr>
          <w:b/>
          <w:color w:val="5C6F88"/>
          <w:sz w:val="15"/>
        </w:rPr>
        <w:t>09 / GELECEK</w:t>
      </w:r>
    </w:p>
    <w:p w:rsidR="001039AB" w:rsidRDefault="001152A6">
      <w:pPr>
        <w:pStyle w:val="Balk1"/>
      </w:pPr>
      <w:r>
        <w:t>Yükseköğretim, Yaratıcı Endüstriler ve Gelecek Eğilimleri</w:t>
      </w:r>
    </w:p>
    <w:p w:rsidR="001039AB" w:rsidRDefault="001152A6" w:rsidP="00FE5414">
      <w:pPr>
        <w:jc w:val="both"/>
        <w:rPr>
          <w:rFonts w:hint="eastAsia"/>
        </w:rPr>
      </w:pPr>
      <w:r>
        <w:t>GSF’nin stratejik planı yalnız bugünkü sorunları çözmek için değil, 2029’a kadar eğitim ve yaratıcı meslekleri dönüştürecek eğilimlere hazırlık için tasarlanmıştır. Bu bölümdeki eğilimler hedef değil; hedefleri sınayan gelecek varsayımlarıdır.</w:t>
      </w:r>
    </w:p>
    <w:p w:rsidR="00FE5414" w:rsidRDefault="00FE5414">
      <w:pPr>
        <w:spacing w:before="100" w:after="20"/>
        <w:rPr>
          <w:rFonts w:hint="eastAsia"/>
          <w:b/>
          <w:color w:val="5C6F88"/>
          <w:sz w:val="15"/>
        </w:rPr>
      </w:pPr>
    </w:p>
    <w:p w:rsidR="001039AB" w:rsidRDefault="001152A6">
      <w:pPr>
        <w:spacing w:before="100" w:after="20"/>
        <w:rPr>
          <w:rFonts w:hint="eastAsia"/>
        </w:rPr>
      </w:pPr>
      <w:r>
        <w:rPr>
          <w:b/>
          <w:color w:val="5C6F88"/>
          <w:sz w:val="15"/>
        </w:rPr>
        <w:t>09 / EĞILIMLER</w:t>
      </w:r>
    </w:p>
    <w:p w:rsidR="001039AB" w:rsidRDefault="001152A6">
      <w:pPr>
        <w:pStyle w:val="Balk1"/>
      </w:pPr>
      <w:r>
        <w:t>2026-2029 İçin Temel Eğilimler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Eğilim</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GSF açısından anlamı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lastRenderedPageBreak/>
              <w:t>Üretken AI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Özgünlük, süreç, telif, ölçme-değerlendirme ve meslek tanımları değişiyor.</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Hibrit yaratıcı meslekler</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Tek disiplinli portfolyo yerine çoklu beceri ve proje deneyimi önem kazanıyor.</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Dijital görünürlük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Sanatçı/tasarımcı için portfolyo, ağ ve dijital kimlik kritik.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Sürdürülebilir üretim</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Malzeme, enerji, atık ve tedarik kararları eğitim konusu hâline geliyor.</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Kültürel bağlam</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Yerel mirasın etik ve çağdaş yorumu küresel özgünlük kaynağı.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Deneyim ekonomisi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Sergi, kamusal sanat, film, moda, tasarım ve etkinlikler kent ekonomisiyle daha fazla kesişiyor.</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Mikro-yeterlik / yaşam boyu öğrenme</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Mezun sonrası kısa program ve yetkinlik güncelleme ihtiyacı artıyor.</w:t>
            </w:r>
          </w:p>
        </w:tc>
      </w:tr>
    </w:tbl>
    <w:p w:rsidR="00FE5414" w:rsidRDefault="00FE5414">
      <w:pPr>
        <w:spacing w:before="100" w:after="20"/>
        <w:rPr>
          <w:rFonts w:hint="eastAsia"/>
          <w:b/>
          <w:color w:val="5C6F88"/>
          <w:sz w:val="15"/>
        </w:rPr>
      </w:pPr>
    </w:p>
    <w:p w:rsidR="001039AB" w:rsidRDefault="001152A6">
      <w:pPr>
        <w:spacing w:before="100" w:after="20"/>
        <w:rPr>
          <w:rFonts w:hint="eastAsia"/>
        </w:rPr>
      </w:pPr>
      <w:r>
        <w:rPr>
          <w:b/>
          <w:color w:val="5C6F88"/>
          <w:sz w:val="15"/>
        </w:rPr>
        <w:t>09 / SENARYOLAR</w:t>
      </w:r>
    </w:p>
    <w:p w:rsidR="001039AB" w:rsidRDefault="001152A6">
      <w:pPr>
        <w:pStyle w:val="Balk1"/>
      </w:pPr>
      <w:r>
        <w:t>Gelecek Senaryosu Testi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Senaryo</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Soru</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Hazırlık</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AI hızlanır</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Öğrenci neyi kendi yapmalı, neyi AI ile yapabilir?</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Süreç değerlendirme + AI okuryazarlığı</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Kaynak kısıtı artar</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Atölye ve ekipman nasıl daha verimli kullanılır?</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Alan kullanım verisi + ortak altyapı</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Uluslararası hareketlilik zorlaşır</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Küresel deneyim nasıl sürer?</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Çevrim içi ortak stüdyo + ortak proje</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Yaratıcı sektör değişir</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Mezun hangi yeni rollere hazırlanır?</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Mesleki modüller + dış paydaş briefleri</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İklim baskısı artar</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Üretim pratikleri nasıl değişir?</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Sürdürülebilir atölye standardı</w:t>
            </w:r>
          </w:p>
        </w:tc>
      </w:tr>
    </w:tbl>
    <w:p w:rsidR="00FE5414" w:rsidRDefault="00FE5414">
      <w:pPr>
        <w:spacing w:before="100" w:after="20"/>
        <w:rPr>
          <w:rFonts w:hint="eastAsia"/>
          <w:b/>
          <w:color w:val="5C6F88"/>
          <w:sz w:val="15"/>
        </w:rPr>
      </w:pPr>
    </w:p>
    <w:p w:rsidR="001039AB" w:rsidRDefault="001152A6">
      <w:pPr>
        <w:spacing w:before="100" w:after="20"/>
        <w:rPr>
          <w:rFonts w:hint="eastAsia"/>
        </w:rPr>
      </w:pPr>
      <w:r>
        <w:rPr>
          <w:b/>
          <w:color w:val="5C6F88"/>
          <w:sz w:val="15"/>
        </w:rPr>
        <w:t>09 / GAZIANTEP</w:t>
      </w:r>
    </w:p>
    <w:p w:rsidR="001039AB" w:rsidRDefault="001152A6">
      <w:pPr>
        <w:pStyle w:val="Balk1"/>
      </w:pPr>
      <w:r>
        <w:t>Gaziantep’in Stratejik Avantajı</w:t>
      </w:r>
    </w:p>
    <w:p w:rsidR="001039AB" w:rsidRDefault="001152A6">
      <w:pPr>
        <w:rPr>
          <w:rFonts w:hint="eastAsia"/>
        </w:rPr>
      </w:pPr>
      <w:r>
        <w:t>Kentin kültürel mirası ile sanayi ve üretim kapasitesinin aynı coğrafyada bulunması GSF’ye nadir bir farklılaşma alanı sunar. Plan, bu avantajı nostaljik bir “yerellik” anlayışıyla değil; çağdaş sanat, tasarım, araştırma ve yaratıcı ekonomi için yaşayan bir laboratuvar olarak ele alır.</w:t>
      </w:r>
    </w:p>
    <w:p w:rsidR="00FE5414" w:rsidRDefault="00FE5414">
      <w:pPr>
        <w:spacing w:before="100" w:after="20"/>
        <w:rPr>
          <w:rFonts w:hint="eastAsia"/>
          <w:b/>
          <w:color w:val="5C6F88"/>
          <w:sz w:val="15"/>
        </w:rPr>
      </w:pPr>
    </w:p>
    <w:p w:rsidR="001039AB" w:rsidRDefault="001152A6">
      <w:pPr>
        <w:spacing w:before="100" w:after="20"/>
        <w:rPr>
          <w:rFonts w:hint="eastAsia"/>
        </w:rPr>
      </w:pPr>
      <w:r>
        <w:rPr>
          <w:b/>
          <w:color w:val="5C6F88"/>
          <w:sz w:val="15"/>
        </w:rPr>
        <w:t>10 / GZFT</w:t>
      </w:r>
    </w:p>
    <w:p w:rsidR="001039AB" w:rsidRDefault="001152A6">
      <w:pPr>
        <w:pStyle w:val="Balk1"/>
      </w:pPr>
      <w:r>
        <w:t>GZFT, Tespitler ve İhtiyaçlar</w:t>
      </w:r>
    </w:p>
    <w:p w:rsidR="001039AB" w:rsidRDefault="001152A6">
      <w:pPr>
        <w:rPr>
          <w:rFonts w:hint="eastAsia"/>
        </w:rPr>
      </w:pPr>
      <w:r>
        <w:t>Aşağıdaki GZFT, GAÜN stratejik planındaki kurumsal tespitler ile GSF’de yürütülen kalite, program, ölçme-değerlendirme, eğitim alanları ve yapay zekâ çalışmalarının oluşturduğu kurumsal çerçeve üzerinden hazırlanmış stratejik taslaktır. Sayısal doğrulama gerektiren maddeler 2026 baz ölçümünde teyit edilecektir.</w:t>
      </w:r>
    </w:p>
    <w:p w:rsidR="00FE5414" w:rsidRDefault="00FE5414">
      <w:pPr>
        <w:spacing w:before="100" w:after="20"/>
        <w:rPr>
          <w:rFonts w:hint="eastAsia"/>
          <w:b/>
          <w:color w:val="5C6F88"/>
          <w:sz w:val="15"/>
        </w:rPr>
      </w:pPr>
    </w:p>
    <w:p w:rsidR="001039AB" w:rsidRDefault="001152A6">
      <w:pPr>
        <w:spacing w:before="100" w:after="20"/>
        <w:rPr>
          <w:rFonts w:hint="eastAsia"/>
        </w:rPr>
      </w:pPr>
      <w:r>
        <w:rPr>
          <w:b/>
          <w:color w:val="5C6F88"/>
          <w:sz w:val="15"/>
        </w:rPr>
        <w:t>10 / GÜÇLÜ YÖNLER</w:t>
      </w:r>
    </w:p>
    <w:p w:rsidR="001039AB" w:rsidRDefault="001152A6">
      <w:pPr>
        <w:pStyle w:val="Balk1"/>
      </w:pPr>
      <w:r>
        <w:t>Güçlü Yönler</w:t>
      </w:r>
    </w:p>
    <w:p w:rsidR="001039AB" w:rsidRDefault="001152A6">
      <w:pPr>
        <w:pStyle w:val="ListeMaddemi"/>
        <w:spacing w:after="60"/>
        <w:rPr>
          <w:rFonts w:hint="eastAsia"/>
        </w:rPr>
      </w:pPr>
      <w:r>
        <w:t>Gaziantep’in güçlü kültürel mirası ve yaratıcı üretim bağlamı.</w:t>
      </w:r>
    </w:p>
    <w:p w:rsidR="001039AB" w:rsidRDefault="001152A6">
      <w:pPr>
        <w:pStyle w:val="ListeMaddemi"/>
        <w:spacing w:after="60"/>
        <w:rPr>
          <w:rFonts w:hint="eastAsia"/>
        </w:rPr>
      </w:pPr>
      <w:r>
        <w:t>Farklı sanat ve tasarım disiplinlerini aynı fakülte çatısında buluşturma potansiyeli.</w:t>
      </w:r>
    </w:p>
    <w:p w:rsidR="001039AB" w:rsidRDefault="001152A6">
      <w:pPr>
        <w:pStyle w:val="ListeMaddemi"/>
        <w:spacing w:after="60"/>
        <w:rPr>
          <w:rFonts w:hint="eastAsia"/>
        </w:rPr>
      </w:pPr>
      <w:r>
        <w:t>Yerel yönetim ve kamu kurumlarıyla gerçek proje üretme kapasitesi.</w:t>
      </w:r>
    </w:p>
    <w:p w:rsidR="001039AB" w:rsidRDefault="001152A6">
      <w:pPr>
        <w:pStyle w:val="ListeMaddemi"/>
        <w:spacing w:after="60"/>
        <w:rPr>
          <w:rFonts w:hint="eastAsia"/>
        </w:rPr>
      </w:pPr>
      <w:r>
        <w:t>Kurulan kalite güvence, ölçme-değerlendirme ve koordinatörlük altyapısı.</w:t>
      </w:r>
    </w:p>
    <w:p w:rsidR="001039AB" w:rsidRDefault="001152A6">
      <w:pPr>
        <w:pStyle w:val="ListeMaddemi"/>
        <w:spacing w:after="60"/>
        <w:rPr>
          <w:rFonts w:hint="eastAsia"/>
        </w:rPr>
      </w:pPr>
      <w:r>
        <w:t>Yapay zekâ için insan merkezli politika ve el kitabının oluşturulmuş olması.</w:t>
      </w:r>
    </w:p>
    <w:p w:rsidR="001039AB" w:rsidRDefault="001152A6">
      <w:pPr>
        <w:pStyle w:val="ListeMaddemi"/>
        <w:spacing w:after="60"/>
        <w:rPr>
          <w:rFonts w:hint="eastAsia"/>
        </w:rPr>
      </w:pPr>
      <w:r>
        <w:t>Uygulamalı/atölye temelli eğitimin güçlü dönüştürücü potansiyeli.</w:t>
      </w:r>
    </w:p>
    <w:p w:rsidR="001039AB" w:rsidRDefault="001152A6">
      <w:pPr>
        <w:pStyle w:val="ListeMaddemi"/>
        <w:spacing w:after="60"/>
        <w:rPr>
          <w:rFonts w:hint="eastAsia"/>
        </w:rPr>
      </w:pPr>
      <w:r>
        <w:t>Sanatsal etkinlik ve toplumsal katkı üretme kapasitesi.</w:t>
      </w:r>
    </w:p>
    <w:p w:rsidR="001039AB" w:rsidRDefault="001152A6">
      <w:pPr>
        <w:spacing w:before="100" w:after="20"/>
        <w:rPr>
          <w:rFonts w:hint="eastAsia"/>
        </w:rPr>
      </w:pPr>
      <w:r>
        <w:rPr>
          <w:b/>
          <w:color w:val="5C6F88"/>
          <w:sz w:val="15"/>
        </w:rPr>
        <w:t>10 / GELIŞMEYE AÇIK</w:t>
      </w:r>
    </w:p>
    <w:p w:rsidR="001039AB" w:rsidRDefault="001152A6">
      <w:pPr>
        <w:pStyle w:val="Balk1"/>
      </w:pPr>
      <w:r>
        <w:t>Gelişmeye Açık Alanlar</w:t>
      </w:r>
    </w:p>
    <w:p w:rsidR="001039AB" w:rsidRDefault="001152A6">
      <w:pPr>
        <w:pStyle w:val="ListeMaddemi"/>
        <w:spacing w:after="60"/>
        <w:rPr>
          <w:rFonts w:hint="eastAsia"/>
        </w:rPr>
      </w:pPr>
      <w:r>
        <w:t>Program düzeyinde düzenli öz değerlendirme ve kanıta dayalı güncellemenin standardize edilmesi ihtiyacı.</w:t>
      </w:r>
    </w:p>
    <w:p w:rsidR="001039AB" w:rsidRDefault="001152A6">
      <w:pPr>
        <w:pStyle w:val="ListeMaddemi"/>
        <w:spacing w:after="60"/>
        <w:rPr>
          <w:rFonts w:hint="eastAsia"/>
        </w:rPr>
      </w:pPr>
      <w:r>
        <w:t>Sanatsal üretimin nitelik ve etki bakımından ortak envanterle izlenmemesi.</w:t>
      </w:r>
    </w:p>
    <w:p w:rsidR="001039AB" w:rsidRDefault="001152A6">
      <w:pPr>
        <w:pStyle w:val="ListeMaddemi"/>
        <w:spacing w:after="60"/>
        <w:rPr>
          <w:rFonts w:hint="eastAsia"/>
        </w:rPr>
      </w:pPr>
      <w:r>
        <w:t>Mezun sonuçlarının sistematik izlenmesi ihtiyacı.</w:t>
      </w:r>
    </w:p>
    <w:p w:rsidR="001039AB" w:rsidRDefault="001152A6">
      <w:pPr>
        <w:pStyle w:val="ListeMaddemi"/>
        <w:spacing w:after="60"/>
        <w:rPr>
          <w:rFonts w:hint="eastAsia"/>
        </w:rPr>
      </w:pPr>
      <w:r>
        <w:t>Eğitim alanı kullanımının kapasite ve verimlilik verileriyle yönetilmesi ihtiyacı.</w:t>
      </w:r>
    </w:p>
    <w:p w:rsidR="001039AB" w:rsidRDefault="001152A6">
      <w:pPr>
        <w:pStyle w:val="ListeMaddemi"/>
        <w:spacing w:after="60"/>
        <w:rPr>
          <w:rFonts w:hint="eastAsia"/>
        </w:rPr>
      </w:pPr>
      <w:r>
        <w:lastRenderedPageBreak/>
        <w:t>Uluslararası ortak üretim ve araştırma ağlarının güçlendirilmesi.</w:t>
      </w:r>
    </w:p>
    <w:p w:rsidR="001039AB" w:rsidRDefault="001152A6">
      <w:pPr>
        <w:pStyle w:val="ListeMaddemi"/>
        <w:spacing w:after="60"/>
        <w:rPr>
          <w:rFonts w:hint="eastAsia"/>
        </w:rPr>
      </w:pPr>
      <w:r>
        <w:t>Yaratıcı teknoloji altyapısının ortak ve sürdürülebilir kullanım modeli.</w:t>
      </w:r>
    </w:p>
    <w:p w:rsidR="001039AB" w:rsidRDefault="001152A6">
      <w:pPr>
        <w:pStyle w:val="ListeMaddemi"/>
        <w:spacing w:after="60"/>
        <w:rPr>
          <w:rFonts w:hint="eastAsia"/>
        </w:rPr>
      </w:pPr>
      <w:r>
        <w:t>Dış paydaş işbirliklerinin protokolden somut öğrenci/üretim sonucuna taşınması.</w:t>
      </w:r>
    </w:p>
    <w:p w:rsidR="001039AB" w:rsidRDefault="001152A6">
      <w:pPr>
        <w:spacing w:before="100" w:after="20"/>
        <w:rPr>
          <w:rFonts w:hint="eastAsia"/>
        </w:rPr>
      </w:pPr>
      <w:r>
        <w:rPr>
          <w:b/>
          <w:color w:val="5C6F88"/>
          <w:sz w:val="15"/>
        </w:rPr>
        <w:t>10 / FIRSATLAR</w:t>
      </w:r>
    </w:p>
    <w:p w:rsidR="001039AB" w:rsidRDefault="001152A6">
      <w:pPr>
        <w:pStyle w:val="Balk1"/>
      </w:pPr>
      <w:r>
        <w:t>Fırsatlar</w:t>
      </w:r>
    </w:p>
    <w:p w:rsidR="001039AB" w:rsidRDefault="001152A6">
      <w:pPr>
        <w:pStyle w:val="ListeMaddemi"/>
        <w:spacing w:after="60"/>
        <w:rPr>
          <w:rFonts w:hint="eastAsia"/>
        </w:rPr>
      </w:pPr>
      <w:r>
        <w:t>Gaziantep’in kültür, turizm, zanaat, tekstil, sanayi ve yaratıcı ekonomi potansiyeli.</w:t>
      </w:r>
    </w:p>
    <w:p w:rsidR="001039AB" w:rsidRDefault="001152A6">
      <w:pPr>
        <w:pStyle w:val="ListeMaddemi"/>
        <w:spacing w:after="60"/>
        <w:rPr>
          <w:rFonts w:hint="eastAsia"/>
        </w:rPr>
      </w:pPr>
      <w:r>
        <w:t>Yerel yönetimlerle çok yıllı sanat/tasarım programları.</w:t>
      </w:r>
    </w:p>
    <w:p w:rsidR="001039AB" w:rsidRDefault="001152A6">
      <w:pPr>
        <w:pStyle w:val="ListeMaddemi"/>
        <w:spacing w:after="60"/>
        <w:rPr>
          <w:rFonts w:hint="eastAsia"/>
        </w:rPr>
      </w:pPr>
      <w:r>
        <w:t>AI ve yaratıcı teknolojilerin yeni araştırma ve üretim alanları açması.</w:t>
      </w:r>
    </w:p>
    <w:p w:rsidR="001039AB" w:rsidRDefault="001152A6">
      <w:pPr>
        <w:pStyle w:val="ListeMaddemi"/>
        <w:spacing w:after="60"/>
        <w:rPr>
          <w:rFonts w:hint="eastAsia"/>
        </w:rPr>
      </w:pPr>
      <w:r>
        <w:t>Uluslararası çevrim içi ortak stüdyo ve kritik modelleri.</w:t>
      </w:r>
    </w:p>
    <w:p w:rsidR="001039AB" w:rsidRDefault="001152A6">
      <w:pPr>
        <w:pStyle w:val="ListeMaddemi"/>
        <w:spacing w:after="60"/>
        <w:rPr>
          <w:rFonts w:hint="eastAsia"/>
        </w:rPr>
      </w:pPr>
      <w:r>
        <w:t>Kültürel mirasın çağdaş ve etik yorumuna yönelik uluslararası ilgi.</w:t>
      </w:r>
    </w:p>
    <w:p w:rsidR="001039AB" w:rsidRDefault="001152A6">
      <w:pPr>
        <w:pStyle w:val="ListeMaddemi"/>
        <w:spacing w:after="60"/>
        <w:rPr>
          <w:rFonts w:hint="eastAsia"/>
        </w:rPr>
      </w:pPr>
      <w:r>
        <w:t>YÖKAK ve akreditasyon süreçlerinin kalite kültürünü güçlendirme potansiyeli.</w:t>
      </w:r>
    </w:p>
    <w:p w:rsidR="001039AB" w:rsidRDefault="001152A6">
      <w:pPr>
        <w:spacing w:before="100" w:after="20"/>
        <w:rPr>
          <w:rFonts w:hint="eastAsia"/>
        </w:rPr>
      </w:pPr>
      <w:r>
        <w:rPr>
          <w:b/>
          <w:color w:val="5C6F88"/>
          <w:sz w:val="15"/>
        </w:rPr>
        <w:t>10 / TEHDITLER</w:t>
      </w:r>
    </w:p>
    <w:p w:rsidR="001039AB" w:rsidRDefault="001152A6">
      <w:pPr>
        <w:pStyle w:val="Balk1"/>
      </w:pPr>
      <w:r>
        <w:t>Tehditler</w:t>
      </w:r>
    </w:p>
    <w:p w:rsidR="001039AB" w:rsidRDefault="001152A6">
      <w:pPr>
        <w:pStyle w:val="ListeMaddemi"/>
        <w:spacing w:after="60"/>
        <w:rPr>
          <w:rFonts w:hint="eastAsia"/>
        </w:rPr>
      </w:pPr>
      <w:r>
        <w:t>Ekonomik koşulların malzeme, ekipman ve öğrenci erişimi üzerindeki baskısı.</w:t>
      </w:r>
    </w:p>
    <w:p w:rsidR="001039AB" w:rsidRDefault="001152A6">
      <w:pPr>
        <w:pStyle w:val="ListeMaddemi"/>
        <w:spacing w:after="60"/>
        <w:rPr>
          <w:rFonts w:hint="eastAsia"/>
        </w:rPr>
      </w:pPr>
      <w:r>
        <w:t>Hızlı teknolojik eskime ve yazılım/cihaz maliyetleri.</w:t>
      </w:r>
    </w:p>
    <w:p w:rsidR="001039AB" w:rsidRDefault="001152A6">
      <w:pPr>
        <w:pStyle w:val="ListeMaddemi"/>
        <w:spacing w:after="60"/>
        <w:rPr>
          <w:rFonts w:hint="eastAsia"/>
        </w:rPr>
      </w:pPr>
      <w:r>
        <w:t>AI’ın özgünlük, telif ve değerlendirme süreçlerinde belirsizlik yaratması.</w:t>
      </w:r>
    </w:p>
    <w:p w:rsidR="001039AB" w:rsidRDefault="001152A6">
      <w:pPr>
        <w:pStyle w:val="ListeMaddemi"/>
        <w:spacing w:after="60"/>
        <w:rPr>
          <w:rFonts w:hint="eastAsia"/>
        </w:rPr>
      </w:pPr>
      <w:r>
        <w:t>Bölgesel algının öğrenci ve uluslararası hareketlilik üzerindeki etkisi.</w:t>
      </w:r>
    </w:p>
    <w:p w:rsidR="001039AB" w:rsidRDefault="001152A6">
      <w:pPr>
        <w:pStyle w:val="ListeMaddemi"/>
        <w:spacing w:after="60"/>
        <w:rPr>
          <w:rFonts w:hint="eastAsia"/>
        </w:rPr>
      </w:pPr>
      <w:r>
        <w:t>Sanat alanında proje ve dış fon kaynaklarının sınırlı/rekabetçi olması.</w:t>
      </w:r>
    </w:p>
    <w:p w:rsidR="001039AB" w:rsidRDefault="001152A6">
      <w:pPr>
        <w:pStyle w:val="ListeMaddemi"/>
        <w:spacing w:after="60"/>
        <w:rPr>
          <w:rFonts w:hint="eastAsia"/>
        </w:rPr>
      </w:pPr>
      <w:r>
        <w:t>Etkinlik yoğunluğunun stratejik sonuç üretmeden kaynak tüketmesi riski.</w:t>
      </w:r>
    </w:p>
    <w:p w:rsidR="001039AB" w:rsidRDefault="001152A6">
      <w:pPr>
        <w:spacing w:before="100" w:after="20"/>
        <w:rPr>
          <w:rFonts w:hint="eastAsia"/>
        </w:rPr>
      </w:pPr>
      <w:r>
        <w:rPr>
          <w:b/>
          <w:color w:val="5C6F88"/>
          <w:sz w:val="15"/>
        </w:rPr>
        <w:t>10 / ÖNCELIKLI İHTIYAÇLAR</w:t>
      </w:r>
    </w:p>
    <w:p w:rsidR="001039AB" w:rsidRDefault="001152A6">
      <w:pPr>
        <w:pStyle w:val="Balk1"/>
      </w:pPr>
      <w:r>
        <w:t>2026-2029 Öncelikli İhtiyaç Haritası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Öncelik</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Neden</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Stratejik adres</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Program kalite sistemi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Öz değerlendirme ve güncellik</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A4/H4.4</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Eğitim alanı verisi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Kaynak verimliliği ve pedagojik uygunluk</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A4/H4.3 + A5</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Sanatsal araştırma envanteri</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Araştırma niteliğini görünür kılmak</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A1</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Mesleki yaşam sistemi</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Mezun sonuçlarını güçlendirmek</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A3/H3.3</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AI entegrasyonu</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Eğitim, üretim ve etik dönüşüm</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A1+A3+A4+A5</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Uluslararası ortak üretim</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Görünürlük ve kalite</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A1+A4</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Kurumsal veri/PUKÖ</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Karar ve hafıza</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A5</w:t>
            </w:r>
          </w:p>
        </w:tc>
      </w:tr>
    </w:tbl>
    <w:p w:rsidR="001039AB" w:rsidRDefault="001152A6">
      <w:pPr>
        <w:spacing w:before="100" w:after="20"/>
        <w:rPr>
          <w:rFonts w:hint="eastAsia"/>
        </w:rPr>
      </w:pPr>
      <w:r>
        <w:rPr>
          <w:b/>
          <w:color w:val="5C6F88"/>
          <w:sz w:val="15"/>
        </w:rPr>
        <w:t>11 / MISYON • V</w:t>
      </w:r>
      <w:r w:rsidR="00FE5414">
        <w:rPr>
          <w:b/>
          <w:color w:val="5C6F88"/>
          <w:sz w:val="15"/>
        </w:rPr>
        <w:t>İ</w:t>
      </w:r>
      <w:r>
        <w:rPr>
          <w:b/>
          <w:color w:val="5C6F88"/>
          <w:sz w:val="15"/>
        </w:rPr>
        <w:t>ZYON • DEĞERLER</w:t>
      </w:r>
    </w:p>
    <w:p w:rsidR="001039AB" w:rsidRDefault="001152A6">
      <w:pPr>
        <w:pStyle w:val="Balk1"/>
      </w:pPr>
      <w:r>
        <w:t>Geleceğe Bakış</w:t>
      </w:r>
    </w:p>
    <w:p w:rsidR="001039AB" w:rsidRDefault="001152A6">
      <w:pPr>
        <w:pStyle w:val="Balk2"/>
      </w:pPr>
      <w:r>
        <w:t>Misyon</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285"/>
        <w:gridCol w:w="7165"/>
      </w:tblGrid>
      <w:tr w:rsidR="001039AB" w:rsidTr="00FE5414">
        <w:trPr>
          <w:trHeight w:val="1079"/>
          <w:jc w:val="center"/>
        </w:trPr>
        <w:tc>
          <w:tcPr>
            <w:tcW w:w="285"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7165"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MISYON</w:t>
            </w:r>
            <w:r>
              <w:rPr>
                <w:b/>
                <w:color w:val="A78655"/>
                <w:sz w:val="17"/>
              </w:rPr>
              <w:br/>
            </w:r>
            <w:r>
              <w:rPr>
                <w:b/>
                <w:color w:val="18212B"/>
                <w:sz w:val="15"/>
              </w:rPr>
              <w:t>Sanat ve tasarım alanlarında eleştirel düşünebilen, özgün üretebilen, kültürel birikimi çağdaş yaklaşımlarla ilişkilendirebilen, teknolojiyi bilinçli ve etik biçimde kullanabilen; topluma, kültüre ve yaratıcı ekonomiye değer katan sanatçı, tasarımcı ve yaratıcı profesyoneller yetiştirmek; sanatsal araştırma ve üretim yoluyla yeni bilgi, deneyim ve kültürel değer üretmek.</w:t>
            </w:r>
          </w:p>
        </w:tc>
      </w:tr>
    </w:tbl>
    <w:p w:rsidR="001039AB" w:rsidRDefault="001152A6">
      <w:pPr>
        <w:spacing w:before="100" w:after="20"/>
        <w:rPr>
          <w:rFonts w:hint="eastAsia"/>
        </w:rPr>
      </w:pPr>
      <w:r>
        <w:rPr>
          <w:b/>
          <w:color w:val="5C6F88"/>
          <w:sz w:val="15"/>
        </w:rPr>
        <w:t>11 / VIZYON</w:t>
      </w:r>
    </w:p>
    <w:p w:rsidR="001039AB" w:rsidRDefault="001152A6">
      <w:pPr>
        <w:pStyle w:val="Balk1"/>
      </w:pPr>
      <w:r>
        <w:t>2029 Vizyonu</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285"/>
        <w:gridCol w:w="7193"/>
      </w:tblGrid>
      <w:tr w:rsidR="001039AB" w:rsidTr="00FE5414">
        <w:trPr>
          <w:trHeight w:val="1143"/>
          <w:jc w:val="center"/>
        </w:trPr>
        <w:tc>
          <w:tcPr>
            <w:tcW w:w="285"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7193"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VIZYON</w:t>
            </w:r>
            <w:r>
              <w:rPr>
                <w:b/>
                <w:color w:val="A78655"/>
                <w:sz w:val="17"/>
              </w:rPr>
              <w:br/>
            </w:r>
            <w:r>
              <w:rPr>
                <w:b/>
                <w:color w:val="18212B"/>
                <w:sz w:val="15"/>
              </w:rPr>
              <w:t>Gaziantep’in güçlü kültürel hafızasını çağdaş sanat ve tasarımın geleceğiyle buluşturan; atölye ve stüdyo kültürünü yaratıcı teknolojilerle geliştiren; öğrenci deneyimi, sanatsal araştırma, toplumsal etki ve ortak üretimde örnek gösterilen, çevik ve öğrenen bir Güzel Sanatlar Fakültesi olmak.</w:t>
            </w:r>
          </w:p>
        </w:tc>
      </w:tr>
    </w:tbl>
    <w:p w:rsidR="001039AB" w:rsidRDefault="001152A6">
      <w:pPr>
        <w:spacing w:before="100" w:after="20"/>
        <w:rPr>
          <w:rFonts w:hint="eastAsia"/>
        </w:rPr>
      </w:pPr>
      <w:r>
        <w:rPr>
          <w:b/>
          <w:color w:val="5C6F88"/>
          <w:sz w:val="15"/>
        </w:rPr>
        <w:t>11 / DEĞERLER</w:t>
      </w:r>
    </w:p>
    <w:p w:rsidR="001039AB" w:rsidRDefault="001152A6">
      <w:pPr>
        <w:pStyle w:val="Balk1"/>
      </w:pPr>
      <w:r>
        <w:lastRenderedPageBreak/>
        <w:t>Temel Değerler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Değer</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Davranış karşılığı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İnsan merkezli yaratıcılık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Teknoloji insan kararını destekler; yerine geçmez.</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Özgünlük</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Taklit değil, araştırma ve kişisel dil.</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Eleştirel düşünce</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Sorgulama, gerekçelendirme, açık tartışma.</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Etik sorumluluk</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Telif, veri, kaynak, kültürel bağlam, dürüstlük.</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Açıklık ve ortak üretim</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Bölümler ve paydaşlar arasında geçirgenlik.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Erişilebilirlik</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Öğrenme ve mekânda fırsat eşitliği.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Sürdürülebilirlik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Kaynak, malzeme ve çevresel etki bilinci.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Kanıta dayalı iyileştirme</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Veri + geri bildirim + PUKÖ.</w:t>
            </w:r>
          </w:p>
        </w:tc>
      </w:tr>
    </w:tbl>
    <w:p w:rsidR="001039AB" w:rsidRDefault="001152A6">
      <w:pPr>
        <w:spacing w:before="100" w:after="20"/>
        <w:rPr>
          <w:rFonts w:hint="eastAsia"/>
        </w:rPr>
      </w:pPr>
      <w:r>
        <w:rPr>
          <w:b/>
          <w:color w:val="5C6F88"/>
          <w:sz w:val="15"/>
        </w:rPr>
        <w:t>12 / FARKLILAŞMA</w:t>
      </w:r>
    </w:p>
    <w:p w:rsidR="001039AB" w:rsidRDefault="001152A6">
      <w:pPr>
        <w:pStyle w:val="Balk1"/>
      </w:pPr>
      <w:r>
        <w:t>GSF Farklılaşma Stratejisi</w:t>
      </w:r>
    </w:p>
    <w:p w:rsidR="001039AB" w:rsidRDefault="001152A6">
      <w:pPr>
        <w:spacing w:before="100" w:after="20"/>
        <w:rPr>
          <w:rFonts w:hint="eastAsia"/>
        </w:rPr>
      </w:pPr>
      <w:r>
        <w:rPr>
          <w:b/>
          <w:color w:val="5C6F88"/>
          <w:sz w:val="15"/>
        </w:rPr>
        <w:t>12 / KONUM</w:t>
      </w:r>
    </w:p>
    <w:p w:rsidR="001039AB" w:rsidRDefault="001152A6">
      <w:pPr>
        <w:pStyle w:val="Balk1"/>
      </w:pPr>
      <w:r>
        <w:t>Konum Tercihi</w:t>
      </w:r>
    </w:p>
    <w:p w:rsidR="001039AB" w:rsidRDefault="001152A6">
      <w:pPr>
        <w:rPr>
          <w:rFonts w:hint="eastAsia"/>
        </w:rPr>
      </w:pPr>
      <w:r>
        <w:t>GSF kendisini yalnız ders veren bir fakülte olarak değil; eğitim, sanatsal araştırma, yaratıcı üretim, kentle ortaklık ve yeni teknolojileri bir araya getiren bölgesel yaratıcı bilgi ve üretim merkezi olarak konumlandırır.</w:t>
      </w:r>
    </w:p>
    <w:p w:rsidR="001039AB" w:rsidRDefault="001152A6">
      <w:pPr>
        <w:spacing w:before="100" w:after="20"/>
        <w:rPr>
          <w:rFonts w:hint="eastAsia"/>
        </w:rPr>
      </w:pPr>
      <w:r>
        <w:rPr>
          <w:b/>
          <w:color w:val="5C6F88"/>
          <w:sz w:val="15"/>
        </w:rPr>
        <w:t>12 / BAŞARI BÖLGESI</w:t>
      </w:r>
    </w:p>
    <w:p w:rsidR="001039AB" w:rsidRDefault="001152A6">
      <w:pPr>
        <w:pStyle w:val="Balk1"/>
      </w:pPr>
      <w:r>
        <w:t>Başarı Bölgesi Tercihi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Başarı bölgesi</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Neden GSF?</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Gaziantep ve kültürel miras</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Yerel bağlamın özgün araştırma/üretim potansiyeli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Yaratıcı endüstriler</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Tekstil, tasarım, film, grafik, seramik, kültür alanı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Sanatsal araştırma</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Uygulama ve kuramı birleştirme</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AI ve yaratıcı teknoloji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İnsan merkezli politika + disiplinlerarası potansiyel</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Toplumsal/kamusal sanat</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Yerel yönetim ve kent ortaklıkları</w:t>
            </w:r>
          </w:p>
        </w:tc>
      </w:tr>
    </w:tbl>
    <w:p w:rsidR="001039AB" w:rsidRDefault="001152A6">
      <w:pPr>
        <w:spacing w:before="100" w:after="20"/>
        <w:rPr>
          <w:rFonts w:hint="eastAsia"/>
        </w:rPr>
      </w:pPr>
      <w:r>
        <w:rPr>
          <w:b/>
          <w:color w:val="5C6F88"/>
          <w:sz w:val="15"/>
        </w:rPr>
        <w:t>12 / DEĞER SUNUMU</w:t>
      </w:r>
    </w:p>
    <w:p w:rsidR="001039AB" w:rsidRDefault="001152A6">
      <w:pPr>
        <w:pStyle w:val="Balk1"/>
      </w:pPr>
      <w:r>
        <w:t>Öğrenciye ve Topluma Değer Sunumu</w:t>
      </w:r>
    </w:p>
    <w:p w:rsidR="001039AB" w:rsidRDefault="001152A6">
      <w:pPr>
        <w:pStyle w:val="ListeMaddemi"/>
        <w:spacing w:after="60"/>
        <w:rPr>
          <w:rFonts w:hint="eastAsia"/>
        </w:rPr>
      </w:pPr>
      <w:r>
        <w:t>Atölye ve stüdyo temelli güçlü üretim deneyimi.</w:t>
      </w:r>
    </w:p>
    <w:p w:rsidR="001039AB" w:rsidRDefault="001152A6">
      <w:pPr>
        <w:pStyle w:val="ListeMaddemi"/>
        <w:spacing w:after="60"/>
        <w:rPr>
          <w:rFonts w:hint="eastAsia"/>
        </w:rPr>
      </w:pPr>
      <w:r>
        <w:t>Gerçek proje ve paydaşlarla öğrenme.</w:t>
      </w:r>
    </w:p>
    <w:p w:rsidR="001039AB" w:rsidRDefault="001152A6">
      <w:pPr>
        <w:pStyle w:val="ListeMaddemi"/>
        <w:spacing w:after="60"/>
        <w:rPr>
          <w:rFonts w:hint="eastAsia"/>
        </w:rPr>
      </w:pPr>
      <w:r>
        <w:t>Güçlü mezuniyet portfolyosu.</w:t>
      </w:r>
    </w:p>
    <w:p w:rsidR="001039AB" w:rsidRDefault="001152A6">
      <w:pPr>
        <w:pStyle w:val="ListeMaddemi"/>
        <w:spacing w:after="60"/>
        <w:rPr>
          <w:rFonts w:hint="eastAsia"/>
        </w:rPr>
      </w:pPr>
      <w:r>
        <w:t>AI ve yaratıcı teknoloji okuryazarlığı.</w:t>
      </w:r>
    </w:p>
    <w:p w:rsidR="001039AB" w:rsidRDefault="001152A6">
      <w:pPr>
        <w:pStyle w:val="ListeMaddemi"/>
        <w:spacing w:after="60"/>
        <w:rPr>
          <w:rFonts w:hint="eastAsia"/>
        </w:rPr>
      </w:pPr>
      <w:r>
        <w:t>Gaziantep’in kültürel bağlamıyla özgün üretim.</w:t>
      </w:r>
    </w:p>
    <w:p w:rsidR="001039AB" w:rsidRDefault="001152A6">
      <w:pPr>
        <w:pStyle w:val="ListeMaddemi"/>
        <w:spacing w:after="60"/>
        <w:rPr>
          <w:rFonts w:hint="eastAsia"/>
        </w:rPr>
      </w:pPr>
      <w:r>
        <w:t>Eleştirel, etik ve disiplinlerarası eğitim.</w:t>
      </w:r>
    </w:p>
    <w:p w:rsidR="001039AB" w:rsidRDefault="001152A6">
      <w:pPr>
        <w:spacing w:before="100" w:after="20"/>
        <w:rPr>
          <w:rFonts w:hint="eastAsia"/>
        </w:rPr>
      </w:pPr>
      <w:r>
        <w:rPr>
          <w:b/>
          <w:color w:val="5C6F88"/>
          <w:sz w:val="15"/>
        </w:rPr>
        <w:t>12 / TEMEL YETKINLIK</w:t>
      </w:r>
    </w:p>
    <w:p w:rsidR="001039AB" w:rsidRDefault="001152A6">
      <w:pPr>
        <w:pStyle w:val="Balk1"/>
      </w:pPr>
      <w:r>
        <w:t>Kurumsal Temel Yetkinlikler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Yetkinlik</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Geliştirme yönü</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Atölye pedagojisi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Süreç, kritik, jüri, rubrik ve geri bildirim</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Sanatsal araştırma</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Yöntem, belge, çıktı ve görünürlük</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Ortak üretim</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Bölümler arası proje ve alan</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Kentle çalışma</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Paydaş, saha, kamusal etki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Kalite/veri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Gösterge, kanıt, PUKÖ</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AI/teknoloji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Etik, yaratıcı ve insan merkezli entegrasyon</w:t>
            </w:r>
          </w:p>
        </w:tc>
      </w:tr>
    </w:tbl>
    <w:p w:rsidR="001039AB" w:rsidRDefault="001152A6">
      <w:pPr>
        <w:spacing w:after="20"/>
        <w:rPr>
          <w:rFonts w:hint="eastAsia"/>
        </w:rPr>
      </w:pPr>
      <w:r>
        <w:rPr>
          <w:b/>
          <w:color w:val="5C6F88"/>
          <w:sz w:val="15"/>
        </w:rPr>
        <w:lastRenderedPageBreak/>
        <w:t>12 / HEDEF KARTI STANDARDI</w:t>
      </w:r>
    </w:p>
    <w:p w:rsidR="001039AB" w:rsidRDefault="001152A6">
      <w:pPr>
        <w:pStyle w:val="Balk1"/>
      </w:pPr>
      <w:r>
        <w:t>GSF Hedef Kartlarının Ortak Ölçüm Standardı</w:t>
      </w:r>
    </w:p>
    <w:p w:rsidR="001039AB" w:rsidRDefault="001152A6">
      <w:pPr>
        <w:rPr>
          <w:rFonts w:hint="eastAsia"/>
        </w:rPr>
      </w:pPr>
      <w:r>
        <w:t>Planın bütün hedefleri aynı ölçüm mantığıyla izlenir. Bu standart, hedeflerin yalnızca faaliyet listesi olarak kalmasını engeller ve sonuçların karşılaştırılabilir olmasını sağlar.</w:t>
      </w:r>
    </w:p>
    <w:tbl>
      <w:tblPr>
        <w:tblW w:w="0" w:type="auto"/>
        <w:jc w:val="center"/>
        <w:tblLook w:val="04A0" w:firstRow="1" w:lastRow="0" w:firstColumn="1" w:lastColumn="0" w:noHBand="0" w:noVBand="1"/>
      </w:tblPr>
      <w:tblGrid>
        <w:gridCol w:w="4320"/>
        <w:gridCol w:w="4320"/>
      </w:tblGrid>
      <w:tr w:rsidR="001039AB">
        <w:trPr>
          <w:tblHeader/>
          <w:jc w:val="center"/>
        </w:trPr>
        <w:tc>
          <w:tcPr>
            <w:tcW w:w="4320"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5"/>
              </w:rPr>
              <w:t>Kart bileşeni</w:t>
            </w:r>
          </w:p>
        </w:tc>
        <w:tc>
          <w:tcPr>
            <w:tcW w:w="4320" w:type="dxa"/>
            <w:shd w:val="clear" w:color="auto" w:fill="0C3067"/>
            <w:tcMar>
              <w:top w:w="65" w:type="dxa"/>
              <w:left w:w="75" w:type="dxa"/>
              <w:bottom w:w="65" w:type="dxa"/>
              <w:right w:w="75" w:type="dxa"/>
            </w:tcMar>
            <w:vAlign w:val="center"/>
          </w:tcPr>
          <w:p w:rsidR="001039AB" w:rsidRDefault="001152A6">
            <w:pPr>
              <w:spacing w:after="0" w:line="240" w:lineRule="auto"/>
              <w:rPr>
                <w:rFonts w:hint="eastAsia"/>
              </w:rPr>
            </w:pPr>
            <w:r>
              <w:rPr>
                <w:b/>
                <w:color w:val="FFFFFF"/>
                <w:sz w:val="15"/>
              </w:rPr>
              <w:t>Uygulama standardı</w:t>
            </w:r>
          </w:p>
        </w:tc>
      </w:tr>
      <w:tr w:rsidR="001039AB">
        <w:trPr>
          <w:jc w:val="center"/>
        </w:trPr>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Üst plan bağlantısı</w:t>
            </w:r>
          </w:p>
        </w:tc>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İlgili GAÜN amaç ve hedef kodu</w:t>
            </w:r>
          </w:p>
        </w:tc>
      </w:tr>
      <w:tr w:rsidR="001039AB">
        <w:trPr>
          <w:jc w:val="center"/>
        </w:trPr>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GSF hedefi</w:t>
            </w:r>
          </w:p>
        </w:tc>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Tek, açık ve sonuç odaklı hedef ifadesi</w:t>
            </w:r>
          </w:p>
        </w:tc>
      </w:tr>
      <w:tr w:rsidR="001039AB">
        <w:trPr>
          <w:jc w:val="center"/>
        </w:trPr>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Dış referans</w:t>
            </w:r>
          </w:p>
        </w:tc>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İlgili ulusal/evrensel bağlam</w:t>
            </w:r>
          </w:p>
        </w:tc>
      </w:tr>
      <w:tr w:rsidR="001039AB">
        <w:trPr>
          <w:jc w:val="center"/>
        </w:trPr>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Gerekçe / tespit</w:t>
            </w:r>
          </w:p>
        </w:tc>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Durum analizinde hedefi doğuran bulgu</w:t>
            </w:r>
          </w:p>
        </w:tc>
      </w:tr>
      <w:tr w:rsidR="001039AB">
        <w:trPr>
          <w:jc w:val="center"/>
        </w:trPr>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Performans göstergesi</w:t>
            </w:r>
          </w:p>
        </w:tc>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Sonucu ölçen nicel veya nitel gösterge</w:t>
            </w:r>
          </w:p>
        </w:tc>
      </w:tr>
      <w:tr w:rsidR="001039AB">
        <w:trPr>
          <w:jc w:val="center"/>
        </w:trPr>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Hesaplama yöntemi</w:t>
            </w:r>
          </w:p>
        </w:tc>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Pay, payda, kapsam ve dışlama kuralları</w:t>
            </w:r>
          </w:p>
        </w:tc>
      </w:tr>
      <w:tr w:rsidR="001039AB">
        <w:trPr>
          <w:jc w:val="center"/>
        </w:trPr>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Baz değer</w:t>
            </w:r>
          </w:p>
        </w:tc>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Doğrulanmış 2026 başlangıç değeri; veri yoksa 'Baz ölçüm yapılacak'</w:t>
            </w:r>
          </w:p>
        </w:tc>
      </w:tr>
      <w:tr w:rsidR="001039AB">
        <w:trPr>
          <w:jc w:val="center"/>
        </w:trPr>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Yıllık hedef</w:t>
            </w:r>
          </w:p>
        </w:tc>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2026, 2027, 2028 ve 2029 eşikleri</w:t>
            </w:r>
          </w:p>
        </w:tc>
      </w:tr>
      <w:tr w:rsidR="001039AB">
        <w:trPr>
          <w:jc w:val="center"/>
        </w:trPr>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Veri kaynağı / kanıt</w:t>
            </w:r>
          </w:p>
        </w:tc>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Anket, kurul kararı, ders dosyası, etkinlik/proje kaydı, alan kullanım kaydı vb.</w:t>
            </w:r>
          </w:p>
        </w:tc>
      </w:tr>
      <w:tr w:rsidR="001039AB">
        <w:trPr>
          <w:jc w:val="center"/>
        </w:trPr>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Sorumlu yapı</w:t>
            </w:r>
          </w:p>
        </w:tc>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Koordinatörlük, bölüm, kurul veya idari birim</w:t>
            </w:r>
          </w:p>
        </w:tc>
      </w:tr>
      <w:tr w:rsidR="001039AB">
        <w:trPr>
          <w:jc w:val="center"/>
        </w:trPr>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İşbirliği yapılacak birimler</w:t>
            </w:r>
          </w:p>
        </w:tc>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Hedefin gerçekleşmesine katkı veren yapılar</w:t>
            </w:r>
          </w:p>
        </w:tc>
      </w:tr>
      <w:tr w:rsidR="001039AB">
        <w:trPr>
          <w:jc w:val="center"/>
        </w:trPr>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İzleme / raporlama</w:t>
            </w:r>
          </w:p>
        </w:tc>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Uygun periyot; dönemlik, altı aylık veya yıllık</w:t>
            </w:r>
          </w:p>
        </w:tc>
      </w:tr>
      <w:tr w:rsidR="001039AB">
        <w:trPr>
          <w:jc w:val="center"/>
        </w:trPr>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Risk ve kontrol</w:t>
            </w:r>
          </w:p>
        </w:tc>
        <w:tc>
          <w:tcPr>
            <w:tcW w:w="4320" w:type="dxa"/>
            <w:shd w:val="clear" w:color="auto" w:fill="FFFFFF"/>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Hedefi tehlikeye atan durum ve önleyici/düzeltici tedbir</w:t>
            </w:r>
          </w:p>
        </w:tc>
      </w:tr>
      <w:tr w:rsidR="001039AB">
        <w:trPr>
          <w:jc w:val="center"/>
        </w:trPr>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PUKÖ kararı</w:t>
            </w:r>
          </w:p>
        </w:tc>
        <w:tc>
          <w:tcPr>
            <w:tcW w:w="4320" w:type="dxa"/>
            <w:shd w:val="clear" w:color="auto" w:fill="F7F9FC"/>
            <w:tcMar>
              <w:top w:w="65" w:type="dxa"/>
              <w:left w:w="75" w:type="dxa"/>
              <w:bottom w:w="65" w:type="dxa"/>
              <w:right w:w="75" w:type="dxa"/>
            </w:tcMar>
            <w:vAlign w:val="center"/>
          </w:tcPr>
          <w:p w:rsidR="001039AB" w:rsidRDefault="001152A6">
            <w:pPr>
              <w:spacing w:after="0" w:line="240" w:lineRule="auto"/>
              <w:rPr>
                <w:rFonts w:hint="eastAsia"/>
              </w:rPr>
            </w:pPr>
            <w:r>
              <w:rPr>
                <w:color w:val="29323D"/>
                <w:sz w:val="15"/>
              </w:rPr>
              <w:t>Sonucun hangi iyileştirme kararına dönüştürüleceği</w:t>
            </w:r>
          </w:p>
        </w:tc>
      </w:tr>
    </w:tbl>
    <w:p w:rsidR="00FE5414" w:rsidRDefault="00FE5414">
      <w:pPr>
        <w:spacing w:before="100" w:after="20"/>
        <w:rPr>
          <w:rFonts w:hint="eastAsia"/>
          <w:b/>
          <w:color w:val="5C6F88"/>
          <w:sz w:val="15"/>
        </w:rPr>
      </w:pPr>
    </w:p>
    <w:p w:rsidR="001039AB" w:rsidRDefault="001152A6">
      <w:pPr>
        <w:spacing w:before="100" w:after="20"/>
        <w:rPr>
          <w:rFonts w:hint="eastAsia"/>
        </w:rPr>
      </w:pPr>
      <w:r>
        <w:rPr>
          <w:b/>
          <w:color w:val="5C6F88"/>
          <w:sz w:val="15"/>
        </w:rPr>
        <w:t>13 / STRATEJI GELIŞTIRME</w:t>
      </w:r>
    </w:p>
    <w:p w:rsidR="001039AB" w:rsidRDefault="001152A6">
      <w:pPr>
        <w:pStyle w:val="Balk1"/>
      </w:pPr>
      <w:r>
        <w:t>A1 • Araştırma ve Yenilikçilik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225"/>
        <w:gridCol w:w="5662"/>
      </w:tblGrid>
      <w:tr w:rsidR="001039AB" w:rsidTr="00FE5414">
        <w:trPr>
          <w:trHeight w:val="555"/>
          <w:jc w:val="center"/>
        </w:trPr>
        <w:tc>
          <w:tcPr>
            <w:tcW w:w="225"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5662"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AMACI</w:t>
            </w:r>
            <w:r>
              <w:rPr>
                <w:b/>
                <w:color w:val="A78655"/>
                <w:sz w:val="17"/>
              </w:rPr>
              <w:br/>
            </w:r>
            <w:r>
              <w:rPr>
                <w:b/>
                <w:color w:val="18212B"/>
                <w:sz w:val="15"/>
              </w:rPr>
              <w:t>Ulusal ve uluslararası alanda etkin, saygın, girişimci ve yenilikçi bir araştırma üniversitesi olmak.</w:t>
            </w:r>
          </w:p>
        </w:tc>
      </w:tr>
    </w:tbl>
    <w:p w:rsidR="001039AB" w:rsidRDefault="001152A6" w:rsidP="00FE5414">
      <w:pPr>
        <w:jc w:val="both"/>
        <w:rPr>
          <w:rFonts w:hint="eastAsia"/>
        </w:rPr>
      </w:pPr>
      <w:r>
        <w:t>GSF bu amaca, araştırmayı sanat alanının özgün üretim biçimleriyle genişleterek katkı verir. Bilimsel yayın, sanatsal araştırma, uygulama temelli araştırma, eser, sergi, film, tasarım, performans, küratöryel çalışma ve yaratıcı teknoloji projesi ortak araştırma ekosisteminin parçalarıdır.</w:t>
      </w:r>
    </w:p>
    <w:p w:rsidR="001039AB" w:rsidRDefault="001152A6">
      <w:pPr>
        <w:keepNext/>
        <w:rPr>
          <w:rFonts w:hint="eastAsia"/>
        </w:rPr>
      </w:pPr>
      <w:r>
        <w:rPr>
          <w:b/>
          <w:color w:val="A78655"/>
          <w:sz w:val="16"/>
        </w:rPr>
        <w:t>HEDEF H1.1</w:t>
      </w:r>
    </w:p>
    <w:p w:rsidR="001039AB" w:rsidRDefault="001152A6">
      <w:pPr>
        <w:pStyle w:val="Balk1"/>
      </w:pPr>
      <w:r>
        <w:t>H1.1 • Bilimsel ve sanatsal araştırmanın niteliğini artırmak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223"/>
        <w:gridCol w:w="5626"/>
      </w:tblGrid>
      <w:tr w:rsidR="001039AB" w:rsidTr="00FE5414">
        <w:trPr>
          <w:trHeight w:val="400"/>
          <w:jc w:val="center"/>
        </w:trPr>
        <w:tc>
          <w:tcPr>
            <w:tcW w:w="223"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562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araştırma üretiminin nicelik ve niteliğinin artırılmasını hedefler.</w:t>
            </w:r>
          </w:p>
        </w:tc>
      </w:tr>
    </w:tbl>
    <w:p w:rsidR="001039AB" w:rsidRDefault="001152A6">
      <w:pPr>
        <w:pStyle w:val="Balk2"/>
      </w:pPr>
      <w:r>
        <w:t>GSF stratejik yorumu</w:t>
      </w:r>
    </w:p>
    <w:p w:rsidR="001039AB" w:rsidRDefault="001152A6" w:rsidP="00FE5414">
      <w:pPr>
        <w:jc w:val="both"/>
        <w:rPr>
          <w:rFonts w:hint="eastAsia"/>
        </w:rPr>
      </w:pPr>
      <w:r>
        <w:t>GSF’de araştırma niteliği; problem, yöntem, bağlam, özgün katkı, görünürlük ve belgeleme boyutlarıyla değerlendirilir. Sanatsal çıktıların yalnız sayısı değil, niteliği ve araştırma ilişkisi izlenir.</w:t>
      </w:r>
    </w:p>
    <w:p w:rsidR="001039AB" w:rsidRDefault="001152A6">
      <w:pPr>
        <w:pStyle w:val="Balk2"/>
      </w:pPr>
      <w:r>
        <w:t>Öncelikli stratejiler</w:t>
      </w:r>
    </w:p>
    <w:p w:rsidR="001039AB" w:rsidRDefault="001152A6">
      <w:pPr>
        <w:pStyle w:val="ListeMaddemi"/>
        <w:spacing w:after="60"/>
        <w:rPr>
          <w:rFonts w:hint="eastAsia"/>
        </w:rPr>
      </w:pPr>
      <w:r>
        <w:t>GSF Sanatsal Araştırma ve Üretim Envanterini kurmak.</w:t>
      </w:r>
    </w:p>
    <w:p w:rsidR="001039AB" w:rsidRDefault="001152A6">
      <w:pPr>
        <w:pStyle w:val="ListeMaddemi"/>
        <w:spacing w:after="60"/>
        <w:rPr>
          <w:rFonts w:hint="eastAsia"/>
        </w:rPr>
      </w:pPr>
      <w:r>
        <w:t>Her bölümde yıllık araştırma/üretim öncelikleri belirlemek.</w:t>
      </w:r>
    </w:p>
    <w:p w:rsidR="001039AB" w:rsidRDefault="001152A6">
      <w:pPr>
        <w:pStyle w:val="ListeMaddemi"/>
        <w:spacing w:after="60"/>
        <w:rPr>
          <w:rFonts w:hint="eastAsia"/>
        </w:rPr>
      </w:pPr>
      <w:r>
        <w:t>Sanatsal araştırma yöntemleri ve proje geliştirme eğitimleri düzenlemek.</w:t>
      </w:r>
    </w:p>
    <w:p w:rsidR="001039AB" w:rsidRDefault="001152A6">
      <w:pPr>
        <w:pStyle w:val="ListeMaddemi"/>
        <w:spacing w:after="60"/>
        <w:rPr>
          <w:rFonts w:hint="eastAsia"/>
        </w:rPr>
      </w:pPr>
      <w:r>
        <w:t>Lisansüstü öğrencileri araştırma kümelerine dahil etmek.</w:t>
      </w:r>
    </w:p>
    <w:p w:rsidR="001039AB" w:rsidRDefault="001152A6">
      <w:pPr>
        <w:pStyle w:val="ListeMaddemi"/>
        <w:spacing w:after="60"/>
        <w:rPr>
          <w:rFonts w:hint="eastAsia"/>
        </w:rPr>
      </w:pPr>
      <w:r>
        <w:t>AI ve yaratıcı teknoloji temalı araştırmaları etik çerçeveyle desteklemek.</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313"/>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 xml:space="preserve">Aktif araştırma/üretim projesine katılan akademik personel </w:t>
            </w:r>
            <w:r>
              <w:rPr>
                <w:sz w:val="13"/>
              </w:rPr>
              <w:lastRenderedPageBreak/>
              <w:t>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lastRenderedPageBreak/>
              <w:t>En az bir kayıtlı proje/araştırma/üretim</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Envanter</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Baz+5 puan</w:t>
            </w:r>
          </w:p>
        </w:tc>
        <w:tc>
          <w:tcPr>
            <w:tcW w:w="1246" w:type="dxa"/>
            <w:tcMar>
              <w:top w:w="65" w:type="dxa"/>
              <w:left w:w="75" w:type="dxa"/>
              <w:bottom w:w="65" w:type="dxa"/>
              <w:right w:w="75" w:type="dxa"/>
            </w:tcMar>
          </w:tcPr>
          <w:p w:rsidR="001039AB" w:rsidRDefault="001152A6" w:rsidP="00FE5414">
            <w:pPr>
              <w:spacing w:after="0" w:line="240" w:lineRule="auto"/>
              <w:rPr>
                <w:rFonts w:hint="eastAsia"/>
              </w:rPr>
            </w:pPr>
            <w:r>
              <w:rPr>
                <w:sz w:val="13"/>
              </w:rPr>
              <w:t>Baz+</w:t>
            </w:r>
            <w:r w:rsidR="00FE5414">
              <w:rPr>
                <w:sz w:val="13"/>
              </w:rPr>
              <w:t>7</w:t>
            </w:r>
          </w:p>
        </w:tc>
        <w:tc>
          <w:tcPr>
            <w:tcW w:w="1246" w:type="dxa"/>
            <w:tcMar>
              <w:top w:w="65" w:type="dxa"/>
              <w:left w:w="75" w:type="dxa"/>
              <w:bottom w:w="65" w:type="dxa"/>
              <w:right w:w="75" w:type="dxa"/>
            </w:tcMar>
          </w:tcPr>
          <w:p w:rsidR="001039AB" w:rsidRDefault="001152A6" w:rsidP="00FE5414">
            <w:pPr>
              <w:spacing w:after="0" w:line="240" w:lineRule="auto"/>
              <w:rPr>
                <w:rFonts w:hint="eastAsia"/>
              </w:rPr>
            </w:pPr>
            <w:r>
              <w:rPr>
                <w:sz w:val="13"/>
              </w:rPr>
              <w:t>≥%</w:t>
            </w:r>
            <w:r w:rsidR="00FE5414">
              <w:rPr>
                <w:sz w:val="13"/>
              </w:rPr>
              <w:t>8</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lastRenderedPageBreak/>
              <w:t>Nitelikli sanatsal araştırma çıktısı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A/B sınıfı araştırma ilişkili çıktı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Envanter+katalog</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rsidP="00FE5414">
            <w:pPr>
              <w:spacing w:after="0" w:line="240" w:lineRule="auto"/>
              <w:rPr>
                <w:rFonts w:hint="eastAsia"/>
              </w:rPr>
            </w:pPr>
            <w:r>
              <w:rPr>
                <w:sz w:val="13"/>
              </w:rPr>
              <w:t>+</w:t>
            </w:r>
            <w:r w:rsidR="00FE5414">
              <w:rPr>
                <w:sz w:val="13"/>
              </w:rPr>
              <w:t>5</w:t>
            </w:r>
            <w:r>
              <w:rPr>
                <w:sz w:val="13"/>
              </w:rPr>
              <w:t>%</w:t>
            </w:r>
          </w:p>
        </w:tc>
        <w:tc>
          <w:tcPr>
            <w:tcW w:w="1246" w:type="dxa"/>
            <w:shd w:val="clear" w:color="auto" w:fill="F8F7F4"/>
            <w:tcMar>
              <w:top w:w="65" w:type="dxa"/>
              <w:left w:w="75" w:type="dxa"/>
              <w:bottom w:w="65" w:type="dxa"/>
              <w:right w:w="75" w:type="dxa"/>
            </w:tcMar>
          </w:tcPr>
          <w:p w:rsidR="001039AB" w:rsidRDefault="001152A6" w:rsidP="00FE5414">
            <w:pPr>
              <w:spacing w:after="0" w:line="240" w:lineRule="auto"/>
              <w:rPr>
                <w:rFonts w:hint="eastAsia"/>
              </w:rPr>
            </w:pPr>
            <w:r>
              <w:rPr>
                <w:sz w:val="13"/>
              </w:rPr>
              <w:t>+</w:t>
            </w:r>
            <w:r w:rsidR="00FE5414">
              <w:rPr>
                <w:sz w:val="13"/>
              </w:rPr>
              <w:t>10</w:t>
            </w:r>
            <w:r>
              <w:rPr>
                <w:sz w:val="13"/>
              </w:rPr>
              <w:t>%</w:t>
            </w:r>
          </w:p>
        </w:tc>
        <w:tc>
          <w:tcPr>
            <w:tcW w:w="1246" w:type="dxa"/>
            <w:shd w:val="clear" w:color="auto" w:fill="F8F7F4"/>
            <w:tcMar>
              <w:top w:w="65" w:type="dxa"/>
              <w:left w:w="75" w:type="dxa"/>
              <w:bottom w:w="65" w:type="dxa"/>
              <w:right w:w="75" w:type="dxa"/>
            </w:tcMar>
          </w:tcPr>
          <w:p w:rsidR="001039AB" w:rsidRDefault="001152A6" w:rsidP="00FE5414">
            <w:pPr>
              <w:spacing w:after="0" w:line="240" w:lineRule="auto"/>
              <w:rPr>
                <w:rFonts w:hint="eastAsia"/>
              </w:rPr>
            </w:pPr>
            <w:r>
              <w:rPr>
                <w:sz w:val="13"/>
              </w:rPr>
              <w:t>+</w:t>
            </w:r>
            <w:r w:rsidR="00FE5414">
              <w:rPr>
                <w:sz w:val="13"/>
              </w:rPr>
              <w:t>15</w:t>
            </w:r>
            <w:r>
              <w:rPr>
                <w:sz w:val="13"/>
              </w:rPr>
              <w:t>%</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Lisansüstü öğrenci proje katılım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Projeye katılan / aktif öğrenci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Proje kayıtları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rsidP="00FE5414">
            <w:pPr>
              <w:spacing w:after="0" w:line="240" w:lineRule="auto"/>
              <w:rPr>
                <w:rFonts w:hint="eastAsia"/>
              </w:rPr>
            </w:pPr>
            <w:r>
              <w:rPr>
                <w:sz w:val="13"/>
              </w:rPr>
              <w:t>≥%</w:t>
            </w:r>
            <w:r w:rsidR="00FE5414">
              <w:rPr>
                <w:sz w:val="13"/>
              </w:rPr>
              <w:t>2</w:t>
            </w:r>
            <w:r>
              <w:rPr>
                <w:sz w:val="13"/>
              </w:rPr>
              <w:t>0</w:t>
            </w:r>
          </w:p>
        </w:tc>
        <w:tc>
          <w:tcPr>
            <w:tcW w:w="1246" w:type="dxa"/>
            <w:tcMar>
              <w:top w:w="65" w:type="dxa"/>
              <w:left w:w="75" w:type="dxa"/>
              <w:bottom w:w="65" w:type="dxa"/>
              <w:right w:w="75" w:type="dxa"/>
            </w:tcMar>
          </w:tcPr>
          <w:p w:rsidR="001039AB" w:rsidRDefault="001152A6" w:rsidP="00FE5414">
            <w:pPr>
              <w:spacing w:after="0" w:line="240" w:lineRule="auto"/>
              <w:rPr>
                <w:rFonts w:hint="eastAsia"/>
              </w:rPr>
            </w:pPr>
            <w:r>
              <w:rPr>
                <w:sz w:val="13"/>
              </w:rPr>
              <w:t>≥%</w:t>
            </w:r>
            <w:r w:rsidR="00FE5414">
              <w:rPr>
                <w:sz w:val="13"/>
              </w:rPr>
              <w:t>30</w:t>
            </w:r>
          </w:p>
        </w:tc>
        <w:tc>
          <w:tcPr>
            <w:tcW w:w="1246" w:type="dxa"/>
            <w:tcMar>
              <w:top w:w="65" w:type="dxa"/>
              <w:left w:w="75" w:type="dxa"/>
              <w:bottom w:w="65" w:type="dxa"/>
              <w:right w:w="75" w:type="dxa"/>
            </w:tcMar>
          </w:tcPr>
          <w:p w:rsidR="001039AB" w:rsidRDefault="001152A6" w:rsidP="00FE5414">
            <w:pPr>
              <w:spacing w:after="0" w:line="240" w:lineRule="auto"/>
              <w:rPr>
                <w:rFonts w:hint="eastAsia"/>
              </w:rPr>
            </w:pPr>
            <w:r>
              <w:rPr>
                <w:sz w:val="13"/>
              </w:rPr>
              <w:t>≥%</w:t>
            </w:r>
            <w:r w:rsidR="00FE5414">
              <w:rPr>
                <w:sz w:val="13"/>
              </w:rPr>
              <w:t>40</w:t>
            </w:r>
          </w:p>
        </w:tc>
      </w:tr>
    </w:tbl>
    <w:p w:rsidR="001039AB" w:rsidRDefault="001152A6">
      <w:pPr>
        <w:pStyle w:val="Balk2"/>
      </w:pPr>
      <w:r>
        <w:t>Başlıca riskler ve kontroller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Risk</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Kontrol / yanıt</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Sanatsal çıktının araştırma olarak tanımlanmasında belirsizlik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Açık sanatsal araştırma ölçütleri ve örnekleri.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Akademik iş yükü</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Yıllık önceliklendirme ve ortak proje modeli.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Nitelik yerine sayı baskısı</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Nitel sınıflama + akran değerlendirme.</w:t>
            </w:r>
          </w:p>
        </w:tc>
      </w:tr>
    </w:tbl>
    <w:p w:rsidR="001039AB" w:rsidRDefault="001152A6">
      <w:pPr>
        <w:keepNext/>
        <w:rPr>
          <w:rFonts w:hint="eastAsia"/>
        </w:rPr>
      </w:pPr>
      <w:r>
        <w:rPr>
          <w:b/>
          <w:color w:val="A78655"/>
          <w:sz w:val="16"/>
        </w:rPr>
        <w:t>HEDEF H1.2</w:t>
      </w:r>
    </w:p>
    <w:p w:rsidR="001039AB" w:rsidRDefault="001152A6">
      <w:pPr>
        <w:pStyle w:val="Balk1"/>
      </w:pPr>
      <w:r>
        <w:t>H1.2 • Ulusal ve uluslararası görünürlüğü güçlendirmek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261"/>
        <w:gridCol w:w="6582"/>
      </w:tblGrid>
      <w:tr w:rsidR="001039AB" w:rsidTr="00FE5414">
        <w:trPr>
          <w:trHeight w:val="563"/>
          <w:jc w:val="center"/>
        </w:trPr>
        <w:tc>
          <w:tcPr>
            <w:tcW w:w="261"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6582"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ulusal ve uluslararası tanınırlığı ve araştırma görünürlüğünü güçlendirmeyi hedefler.</w:t>
            </w:r>
          </w:p>
        </w:tc>
      </w:tr>
    </w:tbl>
    <w:p w:rsidR="001039AB" w:rsidRDefault="001152A6">
      <w:pPr>
        <w:pStyle w:val="Balk2"/>
      </w:pPr>
      <w:r>
        <w:t>GSF stratejik yorumu</w:t>
      </w:r>
    </w:p>
    <w:p w:rsidR="001039AB" w:rsidRDefault="001152A6" w:rsidP="00FE5414">
      <w:pPr>
        <w:jc w:val="both"/>
        <w:rPr>
          <w:rFonts w:hint="eastAsia"/>
        </w:rPr>
      </w:pPr>
      <w:r>
        <w:t>GSF’de görünürlük; jürili sergi/gösterim, yayın, festival, bienal, ortak proje, misafir sanatçı/akademisyen ve uluslararası ağlar üzerinden izlenir.</w:t>
      </w:r>
    </w:p>
    <w:p w:rsidR="001039AB" w:rsidRDefault="001152A6">
      <w:pPr>
        <w:pStyle w:val="Balk2"/>
      </w:pPr>
      <w:r>
        <w:t>Öncelikli stratejiler</w:t>
      </w:r>
    </w:p>
    <w:p w:rsidR="001039AB" w:rsidRDefault="001152A6">
      <w:pPr>
        <w:pStyle w:val="ListeMaddemi"/>
        <w:spacing w:after="60"/>
        <w:rPr>
          <w:rFonts w:hint="eastAsia"/>
        </w:rPr>
      </w:pPr>
      <w:r>
        <w:t>Seçilmiş uluslararası sanat/tasarım okullarıyla ortak üretim.</w:t>
      </w:r>
    </w:p>
    <w:p w:rsidR="001039AB" w:rsidRDefault="001152A6">
      <w:pPr>
        <w:pStyle w:val="ListeMaddemi"/>
        <w:spacing w:after="60"/>
        <w:rPr>
          <w:rFonts w:hint="eastAsia"/>
        </w:rPr>
      </w:pPr>
      <w:r>
        <w:t>Uluslararası jürili etkinlik ve yayın başvurularına destek.</w:t>
      </w:r>
    </w:p>
    <w:p w:rsidR="001039AB" w:rsidRDefault="001152A6">
      <w:pPr>
        <w:pStyle w:val="ListeMaddemi"/>
        <w:spacing w:after="60"/>
        <w:rPr>
          <w:rFonts w:hint="eastAsia"/>
        </w:rPr>
      </w:pPr>
      <w:r>
        <w:t>Fakülte üretimlerinin iki dilli dijital görünürlüğü.</w:t>
      </w:r>
    </w:p>
    <w:p w:rsidR="001039AB" w:rsidRDefault="001152A6">
      <w:pPr>
        <w:pStyle w:val="ListeMaddemi"/>
        <w:spacing w:after="60"/>
        <w:rPr>
          <w:rFonts w:hint="eastAsia"/>
        </w:rPr>
      </w:pPr>
      <w:r>
        <w:t>Çevrim içi uluslararası kritik ve stüdyo programları.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371"/>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Uluslararası ortak sanatsal/araştırma çıktısı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En az iki ülke/kurum ortaklığı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Proje/çıktı kaydı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+20%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+40%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Bazın 2 katı</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Uluslararası misafir katkılı faaliyet</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Ders/kritik/atölye/proje</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Etkinlik kaydı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≥8</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≥12</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≥15</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Uluslararası görünürlük sağlayan öğrenci çıktısı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Seçkili/jürili çıktı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Envanter</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+30%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+50%</w:t>
            </w:r>
          </w:p>
        </w:tc>
      </w:tr>
    </w:tbl>
    <w:p w:rsidR="00FE5414" w:rsidRDefault="00FE5414">
      <w:pPr>
        <w:keepNext/>
        <w:rPr>
          <w:rFonts w:hint="eastAsia"/>
          <w:b/>
          <w:color w:val="A78655"/>
          <w:sz w:val="16"/>
        </w:rPr>
      </w:pPr>
    </w:p>
    <w:p w:rsidR="001039AB" w:rsidRDefault="001152A6">
      <w:pPr>
        <w:keepNext/>
        <w:rPr>
          <w:rFonts w:hint="eastAsia"/>
        </w:rPr>
      </w:pPr>
      <w:r>
        <w:rPr>
          <w:b/>
          <w:color w:val="A78655"/>
          <w:sz w:val="16"/>
        </w:rPr>
        <w:t>HEDEF H1.3</w:t>
      </w:r>
    </w:p>
    <w:p w:rsidR="001039AB" w:rsidRDefault="001152A6">
      <w:pPr>
        <w:pStyle w:val="Balk1"/>
      </w:pPr>
      <w:r>
        <w:t>H1.3 • Araştırma kaynaklarını ve yaratıcı üretim altyapısını güçlendirmek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H1.3 araştırma kaynaklarının güçlendirilmesini ve dış kaynak kullanımının artırılmasını öngörür.</w:t>
            </w:r>
          </w:p>
        </w:tc>
      </w:tr>
    </w:tbl>
    <w:p w:rsidR="001039AB" w:rsidRDefault="001152A6">
      <w:pPr>
        <w:pStyle w:val="Balk2"/>
      </w:pPr>
      <w:r>
        <w:t>GSF stratejik yorumu</w:t>
      </w:r>
    </w:p>
    <w:p w:rsidR="001039AB" w:rsidRDefault="001152A6">
      <w:pPr>
        <w:rPr>
          <w:rFonts w:hint="eastAsia"/>
        </w:rPr>
      </w:pPr>
      <w:r>
        <w:t>GSF için kaynak; fon kadar atölye, ortak laboratuvar, yazılım, ekipman, veri ve teknik destek anlamına gelir. Kaynak yatırımı beklenen öğrenme/araştırma çıktısıyla ilişkilendirilecektir.</w:t>
      </w:r>
    </w:p>
    <w:p w:rsidR="001039AB" w:rsidRDefault="001152A6">
      <w:pPr>
        <w:pStyle w:val="Balk2"/>
      </w:pPr>
      <w:r>
        <w:t>Öncelikli stratejiler</w:t>
      </w:r>
    </w:p>
    <w:p w:rsidR="001039AB" w:rsidRDefault="001152A6">
      <w:pPr>
        <w:pStyle w:val="ListeMaddemi"/>
        <w:spacing w:after="60"/>
        <w:rPr>
          <w:rFonts w:hint="eastAsia"/>
        </w:rPr>
      </w:pPr>
      <w:r>
        <w:t>BAP, TÜBİTAK, AB, belediye ve kültür fonları için proje havuzu.</w:t>
      </w:r>
    </w:p>
    <w:p w:rsidR="001039AB" w:rsidRDefault="001152A6">
      <w:pPr>
        <w:pStyle w:val="ListeMaddemi"/>
        <w:spacing w:after="60"/>
        <w:rPr>
          <w:rFonts w:hint="eastAsia"/>
        </w:rPr>
      </w:pPr>
      <w:r>
        <w:t>Ortak yaratıcı teknoloji laboratuvarı geliştirme.</w:t>
      </w:r>
    </w:p>
    <w:p w:rsidR="001039AB" w:rsidRDefault="001152A6">
      <w:pPr>
        <w:pStyle w:val="ListeMaddemi"/>
        <w:spacing w:after="60"/>
        <w:rPr>
          <w:rFonts w:hint="eastAsia"/>
        </w:rPr>
      </w:pPr>
      <w:r>
        <w:t>Yatırım taleplerini kullanım ve çıktı verisine bağlama.</w:t>
      </w:r>
    </w:p>
    <w:p w:rsidR="001039AB" w:rsidRDefault="001152A6">
      <w:pPr>
        <w:pStyle w:val="ListeMaddemi"/>
        <w:spacing w:after="60"/>
        <w:rPr>
          <w:rFonts w:hint="eastAsia"/>
        </w:rPr>
      </w:pPr>
      <w:r>
        <w:t>Araştırma ekipmanı için ortak kullanım ve rezervasyon sistemi.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46"/>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Dış fonlu proje sayısı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Üniversite dışı kaynaklı aktif proje</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Proje kayıtları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+25%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+50%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Bazın 2 katı</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 xml:space="preserve">Ortak araştırma </w:t>
            </w:r>
            <w:r>
              <w:rPr>
                <w:sz w:val="13"/>
              </w:rPr>
              <w:lastRenderedPageBreak/>
              <w:t>altyapısı kullanım saati</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lastRenderedPageBreak/>
              <w:t xml:space="preserve">Ders dışı </w:t>
            </w:r>
            <w:r>
              <w:rPr>
                <w:sz w:val="13"/>
              </w:rPr>
              <w:lastRenderedPageBreak/>
              <w:t>araştırma/üretim</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lastRenderedPageBreak/>
              <w:t>Rezervasyon</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Dönemlik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+15%</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+30%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+50%</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lastRenderedPageBreak/>
              <w:t>Fon başvurusu yapan akademik personel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En az bir dış fon başvurusu</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Başvuru kaydı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≥%35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≥%45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≥%55</w:t>
            </w:r>
          </w:p>
        </w:tc>
      </w:tr>
    </w:tbl>
    <w:p w:rsidR="001039AB" w:rsidRDefault="001152A6">
      <w:pPr>
        <w:spacing w:before="100" w:after="20"/>
        <w:rPr>
          <w:rFonts w:hint="eastAsia"/>
        </w:rPr>
      </w:pPr>
      <w:r>
        <w:rPr>
          <w:b/>
          <w:color w:val="5C6F88"/>
          <w:sz w:val="15"/>
        </w:rPr>
        <w:t>14 / STRATEJI GELIŞTIRME</w:t>
      </w:r>
    </w:p>
    <w:p w:rsidR="001039AB" w:rsidRDefault="001152A6">
      <w:pPr>
        <w:pStyle w:val="Balk1"/>
      </w:pPr>
      <w:r>
        <w:t>A3 • Yaratıcı Endüstriler ve Dış Paydaş İşbirliği</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AMACI</w:t>
            </w:r>
            <w:r>
              <w:rPr>
                <w:b/>
                <w:color w:val="A78655"/>
                <w:sz w:val="17"/>
              </w:rPr>
              <w:br/>
            </w:r>
            <w:r>
              <w:rPr>
                <w:b/>
                <w:color w:val="18212B"/>
                <w:sz w:val="15"/>
              </w:rPr>
              <w:t>Etkin ve sürdürülebilir üniversite-sanayi iş birliğinin sağlanması.</w:t>
            </w:r>
          </w:p>
        </w:tc>
      </w:tr>
    </w:tbl>
    <w:p w:rsidR="001039AB" w:rsidRDefault="001152A6">
      <w:pPr>
        <w:rPr>
          <w:rFonts w:hint="eastAsia"/>
        </w:rPr>
      </w:pPr>
      <w:r>
        <w:t>GSF açısından “sanayi” kavramı yaratıcı endüstriler, kültür kurumları, yerel yönetimler, müzeler, galeriler, film ve medya alanı, tekstil/moda, tasarım, seramik/cam, geleneksel üretim alanları, STK ve bağımsız sanat ekosistemini kapsayacak biçimde geniş yorumlanır.</w:t>
      </w:r>
    </w:p>
    <w:p w:rsidR="001039AB" w:rsidRDefault="001152A6">
      <w:pPr>
        <w:keepNext/>
        <w:rPr>
          <w:rFonts w:hint="eastAsia"/>
        </w:rPr>
      </w:pPr>
      <w:r>
        <w:rPr>
          <w:b/>
          <w:color w:val="A78655"/>
          <w:sz w:val="16"/>
        </w:rPr>
        <w:t>HEDEF H3.1</w:t>
      </w:r>
    </w:p>
    <w:p w:rsidR="001039AB" w:rsidRDefault="001152A6">
      <w:pPr>
        <w:pStyle w:val="Balk1"/>
      </w:pPr>
      <w:r>
        <w:t>H3.1 • Yaratıcı sektörlerle ortak proje ve Ar-Ge kapasitesini artırmak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üniversite-sanayi işbirliğinde proje ve araştırma kapasitesini güçlendirmeyi hedefler.</w:t>
            </w:r>
          </w:p>
        </w:tc>
      </w:tr>
    </w:tbl>
    <w:p w:rsidR="001039AB" w:rsidRDefault="001152A6">
      <w:pPr>
        <w:pStyle w:val="Balk2"/>
      </w:pPr>
      <w:r>
        <w:t>GSF stratejik yorumu</w:t>
      </w:r>
    </w:p>
    <w:p w:rsidR="001039AB" w:rsidRDefault="001152A6">
      <w:pPr>
        <w:rPr>
          <w:rFonts w:hint="eastAsia"/>
        </w:rPr>
      </w:pPr>
      <w:r>
        <w:t>GSF’de ortaklıkların değeri protokol sayısıyla değil; ortak üretilen proje, öğrenci deneyimi, araştırma çıktısı ve tekrar eden işbirliğiyle ölçülür.</w:t>
      </w:r>
    </w:p>
    <w:p w:rsidR="001039AB" w:rsidRDefault="001152A6">
      <w:pPr>
        <w:pStyle w:val="Balk2"/>
      </w:pPr>
      <w:r>
        <w:t>Öncelikli stratejiler</w:t>
      </w:r>
    </w:p>
    <w:p w:rsidR="001039AB" w:rsidRDefault="001152A6">
      <w:pPr>
        <w:pStyle w:val="ListeMaddemi"/>
        <w:spacing w:after="60"/>
        <w:rPr>
          <w:rFonts w:hint="eastAsia"/>
        </w:rPr>
      </w:pPr>
      <w:r>
        <w:t>Sektörel/yaratıcı çalışma grupları.</w:t>
      </w:r>
    </w:p>
    <w:p w:rsidR="001039AB" w:rsidRDefault="001152A6">
      <w:pPr>
        <w:pStyle w:val="ListeMaddemi"/>
        <w:spacing w:after="60"/>
        <w:rPr>
          <w:rFonts w:hint="eastAsia"/>
        </w:rPr>
      </w:pPr>
      <w:r>
        <w:t>Gerçek brief temelli ders ve stüdyo projeleri.</w:t>
      </w:r>
    </w:p>
    <w:p w:rsidR="001039AB" w:rsidRDefault="001152A6">
      <w:pPr>
        <w:pStyle w:val="ListeMaddemi"/>
        <w:spacing w:after="60"/>
        <w:rPr>
          <w:rFonts w:hint="eastAsia"/>
        </w:rPr>
      </w:pPr>
      <w:r>
        <w:t>Tekstil, film, grafik, seramik, kültür ve tasarım alanlarında ortak Ar-Ge/üretim.</w:t>
      </w:r>
    </w:p>
    <w:p w:rsidR="001039AB" w:rsidRDefault="001152A6">
      <w:pPr>
        <w:pStyle w:val="ListeMaddemi"/>
        <w:spacing w:after="60"/>
        <w:rPr>
          <w:rFonts w:hint="eastAsia"/>
        </w:rPr>
      </w:pPr>
      <w:r>
        <w:t>Paydaş danışma kurullarının çıktı odaklı işletilmesi.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84"/>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Aktif stratejik dış paydaş</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Yılda en az bir ortak çıktı üreten paydaş</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Protokol+çıktı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≥12</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Ortak proje sayısı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Öğrenci/akademisyen katılımlı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Proje kaydı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rsidP="00657A96">
            <w:pPr>
              <w:spacing w:after="0" w:line="240" w:lineRule="auto"/>
              <w:rPr>
                <w:rFonts w:hint="eastAsia"/>
              </w:rPr>
            </w:pPr>
            <w:r>
              <w:rPr>
                <w:sz w:val="13"/>
              </w:rPr>
              <w:t>≥</w:t>
            </w:r>
            <w:r w:rsidR="00657A96">
              <w:rPr>
                <w:sz w:val="13"/>
              </w:rPr>
              <w:t>3</w:t>
            </w:r>
          </w:p>
        </w:tc>
        <w:tc>
          <w:tcPr>
            <w:tcW w:w="1246" w:type="dxa"/>
            <w:shd w:val="clear" w:color="auto" w:fill="F8F7F4"/>
            <w:tcMar>
              <w:top w:w="65" w:type="dxa"/>
              <w:left w:w="75" w:type="dxa"/>
              <w:bottom w:w="65" w:type="dxa"/>
              <w:right w:w="75" w:type="dxa"/>
            </w:tcMar>
          </w:tcPr>
          <w:p w:rsidR="001039AB" w:rsidRDefault="001152A6" w:rsidP="00657A96">
            <w:pPr>
              <w:spacing w:after="0" w:line="240" w:lineRule="auto"/>
              <w:rPr>
                <w:rFonts w:hint="eastAsia"/>
              </w:rPr>
            </w:pPr>
            <w:r>
              <w:rPr>
                <w:sz w:val="13"/>
              </w:rPr>
              <w:t>≥</w:t>
            </w:r>
            <w:r w:rsidR="00657A96">
              <w:rPr>
                <w:sz w:val="13"/>
              </w:rPr>
              <w:t>5</w:t>
            </w:r>
          </w:p>
        </w:tc>
        <w:tc>
          <w:tcPr>
            <w:tcW w:w="1246" w:type="dxa"/>
            <w:shd w:val="clear" w:color="auto" w:fill="F8F7F4"/>
            <w:tcMar>
              <w:top w:w="65" w:type="dxa"/>
              <w:left w:w="75" w:type="dxa"/>
              <w:bottom w:w="65" w:type="dxa"/>
              <w:right w:w="75" w:type="dxa"/>
            </w:tcMar>
          </w:tcPr>
          <w:p w:rsidR="001039AB" w:rsidRDefault="001152A6" w:rsidP="00657A96">
            <w:pPr>
              <w:spacing w:after="0" w:line="240" w:lineRule="auto"/>
              <w:rPr>
                <w:rFonts w:hint="eastAsia"/>
              </w:rPr>
            </w:pPr>
            <w:r>
              <w:rPr>
                <w:sz w:val="13"/>
              </w:rPr>
              <w:t>≥</w:t>
            </w:r>
            <w:r w:rsidR="00657A96">
              <w:rPr>
                <w:sz w:val="13"/>
              </w:rPr>
              <w:t>7</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Tekrar eden ortaklık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İki yıl üst üste çıktı üreten ortak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Paydaş envanteri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≥%40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≥%50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≥%60</w:t>
            </w:r>
          </w:p>
        </w:tc>
      </w:tr>
    </w:tbl>
    <w:p w:rsidR="001039AB" w:rsidRDefault="001152A6">
      <w:pPr>
        <w:keepNext/>
        <w:rPr>
          <w:rFonts w:hint="eastAsia"/>
        </w:rPr>
      </w:pPr>
      <w:r>
        <w:rPr>
          <w:b/>
          <w:color w:val="A78655"/>
          <w:sz w:val="16"/>
        </w:rPr>
        <w:t>HEDEF H3.3</w:t>
      </w:r>
    </w:p>
    <w:p w:rsidR="001039AB" w:rsidRDefault="001152A6">
      <w:pPr>
        <w:pStyle w:val="Balk1"/>
      </w:pPr>
      <w:r>
        <w:t>H3.3 • İstihdama ve yaratıcı mesleki yaşama yönelik işbirliklerini artırmak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H3.3 sektörde uygulamalı eğitim yapan öğrenci, sektör protokolü ve sektör işbirliğiyle yapılan etkinlikleri izler.</w:t>
            </w:r>
          </w:p>
        </w:tc>
      </w:tr>
    </w:tbl>
    <w:p w:rsidR="001039AB" w:rsidRDefault="001152A6">
      <w:pPr>
        <w:pStyle w:val="Balk2"/>
      </w:pPr>
      <w:r>
        <w:t>GSF stratejik yorumu</w:t>
      </w:r>
    </w:p>
    <w:p w:rsidR="001039AB" w:rsidRDefault="001152A6" w:rsidP="00657A96">
      <w:pPr>
        <w:jc w:val="both"/>
        <w:rPr>
          <w:rFonts w:hint="eastAsia"/>
        </w:rPr>
      </w:pPr>
      <w:r>
        <w:t>GSF’de amaç yalnız istihdam değil; öğrencinin yaratıcı profesyonel olarak sürdürülebilir bir pratik kurabilmesidir. Yerinde mesleki eğitim, gerçek proje, portfolyo, telif, sözleşme, fon, fiyatlandırma ve yaratıcı girişimcilik birlikte ele alınır.</w:t>
      </w:r>
    </w:p>
    <w:p w:rsidR="001039AB" w:rsidRDefault="001152A6">
      <w:pPr>
        <w:pStyle w:val="Balk2"/>
      </w:pPr>
      <w:r>
        <w:t>Öncelikli stratejiler</w:t>
      </w:r>
    </w:p>
    <w:p w:rsidR="001039AB" w:rsidRDefault="001152A6">
      <w:pPr>
        <w:pStyle w:val="ListeMaddemi"/>
        <w:spacing w:after="60"/>
        <w:rPr>
          <w:rFonts w:hint="eastAsia"/>
        </w:rPr>
      </w:pPr>
      <w:r>
        <w:t>Yerinde mesleki eğitim modelini bölüm ihtiyaçlarına göre güçlendirmek.</w:t>
      </w:r>
    </w:p>
    <w:p w:rsidR="001039AB" w:rsidRDefault="001152A6">
      <w:pPr>
        <w:pStyle w:val="ListeMaddemi"/>
        <w:spacing w:after="60"/>
        <w:rPr>
          <w:rFonts w:hint="eastAsia"/>
        </w:rPr>
      </w:pPr>
      <w:r>
        <w:t>Her son sınıf öğrencisi için profesyonel portfolyo standardı.</w:t>
      </w:r>
    </w:p>
    <w:p w:rsidR="001039AB" w:rsidRDefault="001152A6">
      <w:pPr>
        <w:pStyle w:val="ListeMaddemi"/>
        <w:spacing w:after="60"/>
        <w:rPr>
          <w:rFonts w:hint="eastAsia"/>
        </w:rPr>
      </w:pPr>
      <w:r>
        <w:t>Telif, sözleşme, fon, proje, fiyatlandırma ve yaratıcı girişimcilik modülleri.</w:t>
      </w:r>
    </w:p>
    <w:p w:rsidR="001039AB" w:rsidRDefault="001152A6">
      <w:pPr>
        <w:pStyle w:val="ListeMaddemi"/>
        <w:spacing w:after="60"/>
        <w:rPr>
          <w:rFonts w:hint="eastAsia"/>
        </w:rPr>
      </w:pPr>
      <w:r>
        <w:t>Mezun 6/18 ay izleme sistemi.</w:t>
      </w:r>
    </w:p>
    <w:p w:rsidR="001039AB" w:rsidRDefault="001152A6">
      <w:pPr>
        <w:pStyle w:val="ListeMaddemi"/>
        <w:spacing w:after="60"/>
        <w:rPr>
          <w:rFonts w:hint="eastAsia"/>
        </w:rPr>
      </w:pPr>
      <w:r>
        <w:t>Dış paydaş öğrenci performansı geri bildirimini program iyileştirmesine bağlamak.</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342"/>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Gerçek proje/yerinde eğitim deneyimi yaşayan öğrenci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En az bir dış paydaşlı uygulama</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Ders/proje kayıtları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rsidP="00657A96">
            <w:pPr>
              <w:spacing w:after="0" w:line="240" w:lineRule="auto"/>
              <w:rPr>
                <w:rFonts w:hint="eastAsia"/>
              </w:rPr>
            </w:pPr>
            <w:r>
              <w:rPr>
                <w:sz w:val="13"/>
              </w:rPr>
              <w:t>≥%</w:t>
            </w:r>
            <w:r w:rsidR="00657A96">
              <w:rPr>
                <w:sz w:val="13"/>
              </w:rPr>
              <w:t>25</w:t>
            </w:r>
          </w:p>
        </w:tc>
        <w:tc>
          <w:tcPr>
            <w:tcW w:w="1246" w:type="dxa"/>
            <w:tcMar>
              <w:top w:w="65" w:type="dxa"/>
              <w:left w:w="75" w:type="dxa"/>
              <w:bottom w:w="65" w:type="dxa"/>
              <w:right w:w="75" w:type="dxa"/>
            </w:tcMar>
          </w:tcPr>
          <w:p w:rsidR="001039AB" w:rsidRDefault="001152A6" w:rsidP="00657A96">
            <w:pPr>
              <w:spacing w:after="0" w:line="240" w:lineRule="auto"/>
              <w:rPr>
                <w:rFonts w:hint="eastAsia"/>
              </w:rPr>
            </w:pPr>
            <w:r>
              <w:rPr>
                <w:sz w:val="13"/>
              </w:rPr>
              <w:t>≥%</w:t>
            </w:r>
            <w:r w:rsidR="00657A96">
              <w:rPr>
                <w:sz w:val="13"/>
              </w:rPr>
              <w:t>40</w:t>
            </w:r>
          </w:p>
        </w:tc>
        <w:tc>
          <w:tcPr>
            <w:tcW w:w="1246" w:type="dxa"/>
            <w:tcMar>
              <w:top w:w="65" w:type="dxa"/>
              <w:left w:w="75" w:type="dxa"/>
              <w:bottom w:w="65" w:type="dxa"/>
              <w:right w:w="75" w:type="dxa"/>
            </w:tcMar>
          </w:tcPr>
          <w:p w:rsidR="001039AB" w:rsidRDefault="001152A6" w:rsidP="00657A96">
            <w:pPr>
              <w:spacing w:after="0" w:line="240" w:lineRule="auto"/>
              <w:rPr>
                <w:rFonts w:hint="eastAsia"/>
              </w:rPr>
            </w:pPr>
            <w:r>
              <w:rPr>
                <w:sz w:val="13"/>
              </w:rPr>
              <w:t>≥%</w:t>
            </w:r>
            <w:r w:rsidR="00657A96">
              <w:rPr>
                <w:sz w:val="13"/>
              </w:rPr>
              <w:t>50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 xml:space="preserve">Profesyonel portfolyo </w:t>
            </w:r>
            <w:r>
              <w:rPr>
                <w:sz w:val="13"/>
              </w:rPr>
              <w:lastRenderedPageBreak/>
              <w:t>tamamlayan mezun oranı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lastRenderedPageBreak/>
              <w:t>Bölüm rubriğinde yeterli</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Portfolyo jürisi</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≥%85</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≥%95</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lastRenderedPageBreak/>
              <w:t>18 ayda yaratıcı alanla ilişkili faaliyet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İş/serbest üretim/proje/lisansüstü</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Mezun anketi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Baz+10</w:t>
            </w:r>
          </w:p>
        </w:tc>
        <w:tc>
          <w:tcPr>
            <w:tcW w:w="1246" w:type="dxa"/>
            <w:tcMar>
              <w:top w:w="65" w:type="dxa"/>
              <w:left w:w="75" w:type="dxa"/>
              <w:bottom w:w="65" w:type="dxa"/>
              <w:right w:w="75" w:type="dxa"/>
            </w:tcMar>
          </w:tcPr>
          <w:p w:rsidR="001039AB" w:rsidRDefault="001152A6" w:rsidP="00657A96">
            <w:pPr>
              <w:spacing w:after="0" w:line="240" w:lineRule="auto"/>
              <w:rPr>
                <w:rFonts w:hint="eastAsia"/>
              </w:rPr>
            </w:pPr>
            <w:r>
              <w:rPr>
                <w:sz w:val="13"/>
              </w:rPr>
              <w:t>≥%</w:t>
            </w:r>
            <w:r w:rsidR="00657A96">
              <w:rPr>
                <w:sz w:val="13"/>
              </w:rPr>
              <w:t>50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Dış paydaş memnuniyeti</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5’li ölçek ortalaması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Kurum anketi</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≥4.0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≥4.1</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≥4.2</w:t>
            </w:r>
          </w:p>
        </w:tc>
      </w:tr>
    </w:tbl>
    <w:p w:rsidR="001039AB" w:rsidRDefault="001152A6">
      <w:pPr>
        <w:pStyle w:val="Balk2"/>
      </w:pPr>
      <w:r>
        <w:t>Başlıca riskler ve kontroller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Risk</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Kontrol / yanıt</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Protokollerin kâğıt üzerinde kalması</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Aktif ortaklık tanımını somut çıktı şartına bağlamak.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Öğrencinin yalnız rutin iş yapması</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Öğrenme çıktısı ve kurum sorumlusu değerlendirmesi.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Sektör beklentisinin akademik özgürlüğü daraltması</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Eğitsel amaç ve etik sınırları protokolde açık tanımlamak.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AI nedeniyle meslek rollerinin hızla değişmesi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Yıllık yaratıcı meslek eğilim analizi ve modül güncellemesi.</w:t>
            </w:r>
          </w:p>
        </w:tc>
      </w:tr>
    </w:tbl>
    <w:p w:rsidR="001039AB" w:rsidRDefault="001152A6">
      <w:pPr>
        <w:spacing w:before="100" w:after="20"/>
        <w:rPr>
          <w:rFonts w:hint="eastAsia"/>
        </w:rPr>
      </w:pPr>
      <w:r>
        <w:rPr>
          <w:b/>
          <w:color w:val="5C6F88"/>
          <w:sz w:val="15"/>
        </w:rPr>
        <w:t>15 / STRATEJI GELIŞTIRME</w:t>
      </w:r>
    </w:p>
    <w:p w:rsidR="001039AB" w:rsidRDefault="001152A6">
      <w:pPr>
        <w:pStyle w:val="Balk1"/>
      </w:pPr>
      <w:r>
        <w:t>A4 • Nitelikli Eğitim</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AMACI</w:t>
            </w:r>
            <w:r>
              <w:rPr>
                <w:b/>
                <w:color w:val="A78655"/>
                <w:sz w:val="17"/>
              </w:rPr>
              <w:br/>
            </w:r>
            <w:r>
              <w:rPr>
                <w:b/>
                <w:color w:val="18212B"/>
                <w:sz w:val="15"/>
              </w:rPr>
              <w:t>Evrensel değerler çerçevesinde nitelikli eğitim yapmak.</w:t>
            </w:r>
          </w:p>
        </w:tc>
      </w:tr>
    </w:tbl>
    <w:p w:rsidR="001039AB" w:rsidRDefault="001152A6">
      <w:pPr>
        <w:rPr>
          <w:rFonts w:hint="eastAsia"/>
        </w:rPr>
      </w:pPr>
      <w:r>
        <w:t>A4, GSF stratejik planının en geniş uygulama alanıdır. GAÜN bu amaç altında eğitici yetkinliği, nitelikli öğrencinin tercihi, fiziki altyapı, öğretim programlarının niteliği, ders dışı eğitim ve öğrencilerin bilimsel/kültürel/sanatsal/toplumsal etkinliklere katılımını ele alır. GSF bu hedefleri sanat eğitiminin özgün pedagojisiyle derinleştirir.</w:t>
      </w:r>
    </w:p>
    <w:p w:rsidR="001039AB" w:rsidRDefault="001152A6">
      <w:pPr>
        <w:keepNext/>
        <w:rPr>
          <w:rFonts w:hint="eastAsia"/>
        </w:rPr>
      </w:pPr>
      <w:r>
        <w:rPr>
          <w:b/>
          <w:color w:val="A78655"/>
          <w:sz w:val="16"/>
        </w:rPr>
        <w:t>HEDEF H4.1</w:t>
      </w:r>
    </w:p>
    <w:p w:rsidR="001039AB" w:rsidRDefault="001152A6">
      <w:pPr>
        <w:pStyle w:val="Balk1"/>
      </w:pPr>
      <w:r>
        <w:t>H4.1 • Eğitici yetkinliğini geliştirmek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eğitici yetkinliği yüksek akademik personelin sayısını artırmayı hedefler.</w:t>
            </w:r>
          </w:p>
        </w:tc>
      </w:tr>
    </w:tbl>
    <w:p w:rsidR="001039AB" w:rsidRDefault="001152A6">
      <w:pPr>
        <w:pStyle w:val="Balk2"/>
      </w:pPr>
      <w:r>
        <w:t>GSF stratejik yorumu</w:t>
      </w:r>
    </w:p>
    <w:p w:rsidR="001039AB" w:rsidRDefault="001152A6">
      <w:pPr>
        <w:rPr>
          <w:rFonts w:hint="eastAsia"/>
        </w:rPr>
      </w:pPr>
      <w:r>
        <w:t>GSF’de eğitici yetkinliği yalnız alan uzmanlığı değildir; atölye pedagojisi, eleştiri ve jüri yönetimi, ölçme-değerlendirme, öğrenci geri bildirimi, dijital pedagojiler, AI okuryazarlığı, erişilebilirlik ve etik yetkinliği kapsar.</w:t>
      </w:r>
    </w:p>
    <w:p w:rsidR="001039AB" w:rsidRDefault="001152A6">
      <w:pPr>
        <w:pStyle w:val="Balk2"/>
      </w:pPr>
      <w:r>
        <w:t>Öncelikli stratejiler</w:t>
      </w:r>
    </w:p>
    <w:p w:rsidR="001039AB" w:rsidRDefault="001152A6">
      <w:pPr>
        <w:pStyle w:val="ListeMaddemi"/>
        <w:spacing w:after="60"/>
        <w:rPr>
          <w:rFonts w:hint="eastAsia"/>
        </w:rPr>
      </w:pPr>
      <w:r>
        <w:t>Yıllık öğretim yetkinliği ihtiyaç analizi.</w:t>
      </w:r>
    </w:p>
    <w:p w:rsidR="001039AB" w:rsidRDefault="001152A6">
      <w:pPr>
        <w:pStyle w:val="ListeMaddemi"/>
        <w:spacing w:after="60"/>
        <w:rPr>
          <w:rFonts w:hint="eastAsia"/>
        </w:rPr>
      </w:pPr>
      <w:r>
        <w:t>Atölye pedagojisi ve kritik/jüri yöntemleri programı.</w:t>
      </w:r>
    </w:p>
    <w:p w:rsidR="001039AB" w:rsidRDefault="001152A6">
      <w:pPr>
        <w:pStyle w:val="ListeMaddemi"/>
        <w:spacing w:after="60"/>
        <w:rPr>
          <w:rFonts w:hint="eastAsia"/>
        </w:rPr>
      </w:pPr>
      <w:r>
        <w:t>Ölçme-değerlendirme ve rubrik geliştirme eğitimleri.</w:t>
      </w:r>
    </w:p>
    <w:p w:rsidR="001039AB" w:rsidRDefault="001152A6">
      <w:pPr>
        <w:pStyle w:val="ListeMaddemi"/>
        <w:spacing w:after="60"/>
        <w:rPr>
          <w:rFonts w:hint="eastAsia"/>
        </w:rPr>
      </w:pPr>
      <w:r>
        <w:t>AI, telif, veri ve yaratıcı teknoloji güncelleme programı.</w:t>
      </w:r>
    </w:p>
    <w:p w:rsidR="001039AB" w:rsidRDefault="001152A6">
      <w:pPr>
        <w:pStyle w:val="ListeMaddemi"/>
        <w:spacing w:after="60"/>
        <w:rPr>
          <w:rFonts w:hint="eastAsia"/>
        </w:rPr>
      </w:pPr>
      <w:r>
        <w:t>İyi öğretim uygulamalarının akran paylaşımı.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46"/>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Mesleki gelişime katılan akademik personel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Yılda en az bir planlı gelişim etkinliği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Katılım kaydı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Ölçme-değerlendirme gelişim programı katılımı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Rubrik/ölçme eğitimi</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Koordinatörlük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≥%60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≥%70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≥%80</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AI okuryazarlığı gelişim programı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Temel/ileri modül</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Eğitim kaydı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≥%90</w:t>
            </w:r>
          </w:p>
        </w:tc>
      </w:tr>
    </w:tbl>
    <w:p w:rsidR="001039AB" w:rsidRDefault="001152A6">
      <w:pPr>
        <w:pStyle w:val="Balk2"/>
      </w:pPr>
      <w:r>
        <w:t>Başlıca riskler ve kontroller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Risk</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Kontrol / yanıt</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Eğitimlerin formaliteye dönüşmesi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İhtiyaç analizi + uygulama çıktısı şartı.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Zaman yetersizliği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Kısa modüler ve dönem başı/sonu planlama.</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Tek tip eğitim</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Bölüm ve rol bazlı farklılaştırma.</w:t>
            </w:r>
          </w:p>
        </w:tc>
      </w:tr>
    </w:tbl>
    <w:p w:rsidR="001039AB" w:rsidRDefault="001152A6">
      <w:pPr>
        <w:keepNext/>
        <w:rPr>
          <w:rFonts w:hint="eastAsia"/>
        </w:rPr>
      </w:pPr>
      <w:r>
        <w:rPr>
          <w:b/>
          <w:color w:val="A78655"/>
          <w:sz w:val="16"/>
        </w:rPr>
        <w:lastRenderedPageBreak/>
        <w:t>HEDEF H4.2</w:t>
      </w:r>
    </w:p>
    <w:p w:rsidR="001039AB" w:rsidRDefault="001152A6">
      <w:pPr>
        <w:pStyle w:val="Balk1"/>
      </w:pPr>
      <w:r>
        <w:t>H4.2 • Nitelikli öğrencilerin GSF’yi tercih etmesini ve ilk yıl deneyimini güçlendirmek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nitelikli öğrencilerin üniversiteyi tercih etmesini hedefler; tanınırlık, bölgesel algı ve eğitim olanaklarını önemli faktörler olarak ele alır.</w:t>
            </w:r>
          </w:p>
        </w:tc>
      </w:tr>
    </w:tbl>
    <w:p w:rsidR="001039AB" w:rsidRDefault="001152A6">
      <w:pPr>
        <w:pStyle w:val="Balk2"/>
      </w:pPr>
      <w:r>
        <w:t>GSF stratejik yorumu</w:t>
      </w:r>
    </w:p>
    <w:p w:rsidR="001039AB" w:rsidRDefault="001152A6">
      <w:pPr>
        <w:rPr>
          <w:rFonts w:hint="eastAsia"/>
        </w:rPr>
      </w:pPr>
      <w:r>
        <w:t>GSF’de tercih yalnız tanıtım kampanyası değildir. Aday öğrenciye fakültenin eğitim modeli, atölyeleri, öğrenci işleri, mezun portfolyoları, şehirle ilişkisi ve mesleki olanakları gerçekçi ve şeffaf biçimde gösterilmelidir.</w:t>
      </w:r>
    </w:p>
    <w:p w:rsidR="001039AB" w:rsidRDefault="001152A6">
      <w:pPr>
        <w:pStyle w:val="Balk2"/>
      </w:pPr>
      <w:r>
        <w:t>Öncelikli stratejiler</w:t>
      </w:r>
    </w:p>
    <w:p w:rsidR="001039AB" w:rsidRDefault="001152A6">
      <w:pPr>
        <w:pStyle w:val="ListeMaddemi"/>
        <w:spacing w:after="60"/>
        <w:rPr>
          <w:rFonts w:hint="eastAsia"/>
        </w:rPr>
      </w:pPr>
      <w:r>
        <w:t>Aday öğrenci açık atölye ve portfolyo günleri.</w:t>
      </w:r>
    </w:p>
    <w:p w:rsidR="001039AB" w:rsidRDefault="001152A6">
      <w:pPr>
        <w:pStyle w:val="ListeMaddemi"/>
        <w:spacing w:after="60"/>
        <w:rPr>
          <w:rFonts w:hint="eastAsia"/>
        </w:rPr>
      </w:pPr>
      <w:r>
        <w:t>Bölüm bazlı şeffaf dijital tanıtım.</w:t>
      </w:r>
    </w:p>
    <w:p w:rsidR="001039AB" w:rsidRDefault="001152A6">
      <w:pPr>
        <w:pStyle w:val="ListeMaddemi"/>
        <w:spacing w:after="60"/>
        <w:rPr>
          <w:rFonts w:hint="eastAsia"/>
        </w:rPr>
      </w:pPr>
      <w:r>
        <w:t>Özel yetenek/başvuru süreçlerinde açık bilgilendirme.</w:t>
      </w:r>
    </w:p>
    <w:p w:rsidR="001039AB" w:rsidRDefault="001152A6">
      <w:pPr>
        <w:pStyle w:val="ListeMaddemi"/>
        <w:spacing w:after="60"/>
        <w:rPr>
          <w:rFonts w:hint="eastAsia"/>
        </w:rPr>
      </w:pPr>
      <w:r>
        <w:t>Birinci sınıf uyum ve fakülte kültürü programı.</w:t>
      </w:r>
    </w:p>
    <w:p w:rsidR="001039AB" w:rsidRDefault="001152A6">
      <w:pPr>
        <w:pStyle w:val="ListeMaddemi"/>
        <w:spacing w:after="60"/>
        <w:rPr>
          <w:rFonts w:hint="eastAsia"/>
        </w:rPr>
      </w:pPr>
      <w:r>
        <w:t>İlk yıl deneyimi erken uyarı ve geri bildirim sistemi.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46"/>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Kontenjan doluluk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Kayıt / kontenjan</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ÖBS</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≥%97</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Asıl kayıt dönüşüm oranı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Kayıt olan / yerleşen</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ÖBS</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Baz+3</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Baz+5</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Baz+7</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İlk yıl devam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İkinci yıla devam eden kohort</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ÖBS</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Baz+2</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Baz+4</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Baz+5</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Oryantasyon katılımı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Yeni kayıtlı öğrenciler</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Katılım</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≥%85</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≥%95</w:t>
            </w:r>
          </w:p>
        </w:tc>
      </w:tr>
    </w:tbl>
    <w:p w:rsidR="001039AB" w:rsidRDefault="001152A6">
      <w:pPr>
        <w:keepNext/>
        <w:rPr>
          <w:rFonts w:hint="eastAsia"/>
        </w:rPr>
      </w:pPr>
      <w:r>
        <w:rPr>
          <w:b/>
          <w:color w:val="A78655"/>
          <w:sz w:val="16"/>
        </w:rPr>
        <w:t>HEDEF H4.3</w:t>
      </w:r>
    </w:p>
    <w:p w:rsidR="001039AB" w:rsidRDefault="001152A6">
      <w:pPr>
        <w:pStyle w:val="Balk1"/>
      </w:pPr>
      <w:r>
        <w:t>H4.3 • Eğitim alanlarını çağdaş, erişilebilir ve etkin kullanmak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H4.3 eğitim, sportif ve sosyal binaların yenilenmesi ve kampüs altyapısının iyileştirilmesini hedefler; derslik, laboratuvar ve atölye olanaklarının geliştirilmesini ihtiyaç olarak tanımlar.</w:t>
            </w:r>
          </w:p>
        </w:tc>
      </w:tr>
    </w:tbl>
    <w:p w:rsidR="001039AB" w:rsidRDefault="001152A6">
      <w:pPr>
        <w:pStyle w:val="Balk2"/>
      </w:pPr>
      <w:r>
        <w:t>GSF stratejik yorumu</w:t>
      </w:r>
    </w:p>
    <w:p w:rsidR="001039AB" w:rsidRDefault="001152A6">
      <w:pPr>
        <w:rPr>
          <w:rFonts w:hint="eastAsia"/>
        </w:rPr>
      </w:pPr>
      <w:r>
        <w:t>GSF’de fiziksel alanın varlığı kadar kullanım etkinliği önemlidir. Eğitim alanları tür, kapasite, donanım, erişilebilirlik, kullanım amacı ve fiilî kullanım verisiyle yönetilir.</w:t>
      </w:r>
    </w:p>
    <w:p w:rsidR="001039AB" w:rsidRDefault="001152A6">
      <w:pPr>
        <w:pStyle w:val="Balk2"/>
      </w:pPr>
      <w:r>
        <w:t>Öncelikli stratejiler</w:t>
      </w:r>
    </w:p>
    <w:p w:rsidR="001039AB" w:rsidRDefault="001152A6">
      <w:pPr>
        <w:pStyle w:val="ListeMaddemi"/>
        <w:spacing w:after="60"/>
        <w:rPr>
          <w:rFonts w:hint="eastAsia"/>
        </w:rPr>
      </w:pPr>
      <w:r>
        <w:t>Eğitim Alanları Envanter ve Kullanım Sistemini tamamlamak.</w:t>
      </w:r>
    </w:p>
    <w:p w:rsidR="001039AB" w:rsidRDefault="001152A6">
      <w:pPr>
        <w:pStyle w:val="ListeMaddemi"/>
        <w:spacing w:after="60"/>
        <w:rPr>
          <w:rFonts w:hint="eastAsia"/>
        </w:rPr>
      </w:pPr>
      <w:r>
        <w:t>Her dönem alan doluluk ve yoğunluk analizi.</w:t>
      </w:r>
    </w:p>
    <w:p w:rsidR="001039AB" w:rsidRDefault="001152A6">
      <w:pPr>
        <w:pStyle w:val="ListeMaddemi"/>
        <w:spacing w:after="60"/>
        <w:rPr>
          <w:rFonts w:hint="eastAsia"/>
        </w:rPr>
      </w:pPr>
      <w:r>
        <w:t>Ortak alan kullanım ilkeleri.</w:t>
      </w:r>
    </w:p>
    <w:p w:rsidR="001039AB" w:rsidRDefault="001152A6">
      <w:pPr>
        <w:pStyle w:val="ListeMaddemi"/>
        <w:spacing w:after="60"/>
        <w:rPr>
          <w:rFonts w:hint="eastAsia"/>
        </w:rPr>
      </w:pPr>
      <w:r>
        <w:t>Bakım/onarım ve yatırım taleplerini kullanım verisine bağlamak.</w:t>
      </w:r>
    </w:p>
    <w:p w:rsidR="001039AB" w:rsidRDefault="001152A6">
      <w:pPr>
        <w:pStyle w:val="ListeMaddemi"/>
        <w:spacing w:after="60"/>
        <w:rPr>
          <w:rFonts w:hint="eastAsia"/>
        </w:rPr>
      </w:pPr>
      <w:r>
        <w:t>Erişilebilirlik değerlendirmesi.</w:t>
      </w:r>
    </w:p>
    <w:p w:rsidR="001039AB" w:rsidRDefault="001152A6">
      <w:pPr>
        <w:pStyle w:val="ListeMaddemi"/>
        <w:spacing w:after="60"/>
        <w:rPr>
          <w:rFonts w:hint="eastAsia"/>
        </w:rPr>
      </w:pPr>
      <w:r>
        <w:t>Ders/sınav programlarında alan kaynaklı sorunları raporlamak.</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46"/>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Envanteri tamamlanmış eğitim alanı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Tüm zorunlu veri alanları dolu</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Envanter</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Kullanım verisi izlenen alan oranı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Haftalık fiilî kullanım kaydı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Kullanım sistemi</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Dönemlik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≥%80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%100</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Alan kaynaklı program değişikliği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Toplam değişiklik içinde alan nedeni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Program kayıtları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Dönemlik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-20%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-30%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Erişilebilirlik değerlendirmesi yapılan alan</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Standart kontrol</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Alan formu</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≥%75</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%100</w:t>
            </w:r>
          </w:p>
        </w:tc>
      </w:tr>
    </w:tbl>
    <w:p w:rsidR="001039AB" w:rsidRDefault="001152A6">
      <w:pPr>
        <w:pStyle w:val="Balk2"/>
      </w:pPr>
      <w:r>
        <w:lastRenderedPageBreak/>
        <w:t>Başlıca riskler ve kontroller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Risk</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Kontrol / yanıt</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Bölüm bazlı alan sahipliği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Öncelikli kullanım + ortak kaynak ilkesi.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Kullanım verisinin tutulmaması</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Koordinatörlük standart çizelgesi.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Bakım bütçesi kısıtı</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Risk önceliği + kullanım/etki verisiyle yatırım sıralama.</w:t>
            </w:r>
          </w:p>
        </w:tc>
      </w:tr>
    </w:tbl>
    <w:p w:rsidR="001039AB" w:rsidRDefault="001152A6">
      <w:pPr>
        <w:keepNext/>
        <w:rPr>
          <w:rFonts w:hint="eastAsia"/>
        </w:rPr>
      </w:pPr>
      <w:r>
        <w:rPr>
          <w:b/>
          <w:color w:val="A78655"/>
          <w:sz w:val="16"/>
        </w:rPr>
        <w:t>HEDEF H4.4</w:t>
      </w:r>
    </w:p>
    <w:p w:rsidR="001039AB" w:rsidRDefault="001152A6">
      <w:pPr>
        <w:pStyle w:val="Balk1"/>
      </w:pPr>
      <w:r>
        <w:t>H4.4 • Öğretim programlarının niteliğini artırmak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H4.4 öz değerlendirme raporu hazırlayan ve akredite program sayısını artırmayı hedefler; müfredat güncelleme gecikmesi ve kalite kültürü eksikliğini risk olarak tanımlar.</w:t>
            </w:r>
          </w:p>
        </w:tc>
      </w:tr>
    </w:tbl>
    <w:p w:rsidR="001039AB" w:rsidRDefault="001152A6">
      <w:pPr>
        <w:pStyle w:val="Balk2"/>
      </w:pPr>
      <w:r>
        <w:t>GSF stratejik yorumu</w:t>
      </w:r>
    </w:p>
    <w:p w:rsidR="001039AB" w:rsidRDefault="001152A6">
      <w:pPr>
        <w:rPr>
          <w:rFonts w:hint="eastAsia"/>
        </w:rPr>
      </w:pPr>
      <w:r>
        <w:t>GSF’de program niteliği; program yeterlilikleri, ders çıktıları, öğrenci iş yükü, ölçme-değerlendirme, atölye-kuram dengesi, paydaş görüşü, mezun sonuçları, disiplinlerarasılık, AI/dijital yetkinlik, etik/telif, sürdürülebilirlik ve mesleki hazırlığın birlikte değerlendirilmesidir.</w:t>
      </w:r>
    </w:p>
    <w:p w:rsidR="001039AB" w:rsidRDefault="001152A6">
      <w:pPr>
        <w:pStyle w:val="Balk2"/>
      </w:pPr>
      <w:r>
        <w:t>Öncelikli stratejiler</w:t>
      </w:r>
    </w:p>
    <w:p w:rsidR="001039AB" w:rsidRDefault="001152A6">
      <w:pPr>
        <w:pStyle w:val="ListeMaddemi"/>
        <w:spacing w:after="60"/>
        <w:rPr>
          <w:rFonts w:hint="eastAsia"/>
        </w:rPr>
      </w:pPr>
      <w:r>
        <w:t>Her program için yıllık öz değerlendirme.</w:t>
      </w:r>
    </w:p>
    <w:p w:rsidR="001039AB" w:rsidRDefault="001152A6">
      <w:pPr>
        <w:pStyle w:val="ListeMaddemi"/>
        <w:spacing w:after="60"/>
        <w:rPr>
          <w:rFonts w:hint="eastAsia"/>
        </w:rPr>
      </w:pPr>
      <w:r>
        <w:t>Program yeterliliği-ders çıktısı matrisinin yıllık kontrolü.</w:t>
      </w:r>
    </w:p>
    <w:p w:rsidR="001039AB" w:rsidRDefault="001152A6">
      <w:pPr>
        <w:pStyle w:val="ListeMaddemi"/>
        <w:spacing w:after="60"/>
        <w:rPr>
          <w:rFonts w:hint="eastAsia"/>
        </w:rPr>
      </w:pPr>
      <w:r>
        <w:t>AKTS/öğrenci iş yükü doğrulaması.</w:t>
      </w:r>
    </w:p>
    <w:p w:rsidR="001039AB" w:rsidRDefault="001152A6">
      <w:pPr>
        <w:pStyle w:val="ListeMaddemi"/>
        <w:spacing w:after="60"/>
        <w:rPr>
          <w:rFonts w:hint="eastAsia"/>
        </w:rPr>
      </w:pPr>
      <w:r>
        <w:t>Öğrenci, mezun ve dış paydaş görüşünün program kararına bağlanması.</w:t>
      </w:r>
    </w:p>
    <w:p w:rsidR="001039AB" w:rsidRDefault="001152A6">
      <w:pPr>
        <w:pStyle w:val="ListeMaddemi"/>
        <w:spacing w:after="60"/>
        <w:rPr>
          <w:rFonts w:hint="eastAsia"/>
        </w:rPr>
      </w:pPr>
      <w:r>
        <w:t>Ulusal/uluslararası program benchmarking.</w:t>
      </w:r>
    </w:p>
    <w:p w:rsidR="001039AB" w:rsidRDefault="001152A6">
      <w:pPr>
        <w:pStyle w:val="ListeMaddemi"/>
        <w:spacing w:after="60"/>
        <w:rPr>
          <w:rFonts w:hint="eastAsia"/>
        </w:rPr>
      </w:pPr>
      <w:r>
        <w:t>Akreditasyon hazırlık kontrol listesi.</w:t>
      </w:r>
    </w:p>
    <w:p w:rsidR="001039AB" w:rsidRDefault="001152A6">
      <w:pPr>
        <w:pStyle w:val="ListeMaddemi"/>
        <w:spacing w:after="60"/>
        <w:rPr>
          <w:rFonts w:hint="eastAsia"/>
        </w:rPr>
      </w:pPr>
      <w:r>
        <w:t>AI ve etik yetkinliklerin program düzeyinde tanımlanması.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46"/>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 öz değerlendirme tamamlayan program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Standart rapor + kanıt</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Program dosyası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Paydaş girdisiyle güncellenen program</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En az öğrenci+mezun/dış paydaş</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Kurul kanıtı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≥%75</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%100</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Ders çıktısı-ölçme uyum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Kontrol edilen derslerde uygunluk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BEK/ÖD</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AKTS iş yükü doğrulanan ders oranı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Öğrenci iş yükü verisi bulunan ders</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Program izleme</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≥%60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≥%80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≥%90</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AI/dijital yetkinliği tanımlı program</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Program yeterliliği/ders matrisi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Program dosyası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r>
    </w:tbl>
    <w:p w:rsidR="001039AB" w:rsidRDefault="001152A6">
      <w:pPr>
        <w:pStyle w:val="Balk2"/>
      </w:pPr>
      <w:r>
        <w:t>Program yıllık öz değerlendirme soruları</w:t>
      </w:r>
    </w:p>
    <w:p w:rsidR="001039AB" w:rsidRDefault="001152A6">
      <w:pPr>
        <w:pStyle w:val="ListeNumaras"/>
        <w:spacing w:after="60"/>
        <w:rPr>
          <w:rFonts w:hint="eastAsia"/>
        </w:rPr>
      </w:pPr>
      <w:r>
        <w:t>Programın amaç ve yeterlilikleri güncel mi?</w:t>
      </w:r>
    </w:p>
    <w:p w:rsidR="001039AB" w:rsidRDefault="001152A6">
      <w:pPr>
        <w:pStyle w:val="ListeNumaras"/>
        <w:spacing w:after="60"/>
        <w:rPr>
          <w:rFonts w:hint="eastAsia"/>
        </w:rPr>
      </w:pPr>
      <w:r>
        <w:t>Dersler program yeterliliklerine dengeli katkı sağlıyor mu?</w:t>
      </w:r>
    </w:p>
    <w:p w:rsidR="001039AB" w:rsidRDefault="001152A6">
      <w:pPr>
        <w:pStyle w:val="ListeNumaras"/>
        <w:spacing w:after="60"/>
        <w:rPr>
          <w:rFonts w:hint="eastAsia"/>
        </w:rPr>
      </w:pPr>
      <w:r>
        <w:t>Öğrenci iş yükü gerçekçi mi?</w:t>
      </w:r>
    </w:p>
    <w:p w:rsidR="001039AB" w:rsidRDefault="001152A6">
      <w:pPr>
        <w:pStyle w:val="ListeNumaras"/>
        <w:spacing w:after="60"/>
        <w:rPr>
          <w:rFonts w:hint="eastAsia"/>
        </w:rPr>
      </w:pPr>
      <w:r>
        <w:t>Ölçme araçları öğrenme çıktısını ölçüyor mu?</w:t>
      </w:r>
    </w:p>
    <w:p w:rsidR="001039AB" w:rsidRDefault="001152A6">
      <w:pPr>
        <w:pStyle w:val="ListeNumaras"/>
        <w:spacing w:after="60"/>
        <w:rPr>
          <w:rFonts w:hint="eastAsia"/>
        </w:rPr>
      </w:pPr>
      <w:r>
        <w:t>Portfolyo/öğrenci işleri beklenen gelişimi gösteriyor mu?</w:t>
      </w:r>
    </w:p>
    <w:p w:rsidR="001039AB" w:rsidRDefault="001152A6">
      <w:pPr>
        <w:pStyle w:val="ListeNumaras"/>
        <w:spacing w:after="60"/>
        <w:rPr>
          <w:rFonts w:hint="eastAsia"/>
        </w:rPr>
      </w:pPr>
      <w:r>
        <w:t>Öğrenci, mezun ve dış paydaş ne söylüyor?</w:t>
      </w:r>
    </w:p>
    <w:p w:rsidR="001039AB" w:rsidRDefault="001152A6">
      <w:pPr>
        <w:pStyle w:val="ListeNumaras"/>
        <w:spacing w:after="60"/>
        <w:rPr>
          <w:rFonts w:hint="eastAsia"/>
        </w:rPr>
      </w:pPr>
      <w:r>
        <w:t>AI, etik, telif, sürdürülebilirlik ve mesleki gelişmeler programa nasıl yansıyor?</w:t>
      </w:r>
    </w:p>
    <w:p w:rsidR="001039AB" w:rsidRDefault="001152A6">
      <w:pPr>
        <w:pStyle w:val="ListeNumaras"/>
        <w:spacing w:after="60"/>
        <w:rPr>
          <w:rFonts w:hint="eastAsia"/>
        </w:rPr>
      </w:pPr>
      <w:r>
        <w:t>Bir sonraki yıl hangi 3 iyileştirme önceliklidir?</w:t>
      </w:r>
    </w:p>
    <w:p w:rsidR="001039AB" w:rsidRDefault="001152A6">
      <w:pPr>
        <w:pStyle w:val="Balk2"/>
      </w:pPr>
      <w:r>
        <w:t>Başlıca riskler ve kontroller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Risk</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Kontrol / yanıt</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Öz değerlendirmenin belge üretimine dönüşmesi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Az sayıda kritik soru + somut iyileştirme şartı.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Müfredatın sık ve gerekçesiz değişmesi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Veri ve paydaş kanıtı olmadan değişiklik yapmama.</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AI’ın yüzeysel eklenmesi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Program yeterliliği ve gerçek ders bağlamına entegrasyon.</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Akreditasyonun amaç hâline gelmesi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Akreditasyonu kalite sonucunun dış doğrulaması olarak görmek.</w:t>
            </w:r>
          </w:p>
        </w:tc>
      </w:tr>
    </w:tbl>
    <w:p w:rsidR="001039AB" w:rsidRDefault="001152A6">
      <w:pPr>
        <w:keepNext/>
        <w:rPr>
          <w:rFonts w:hint="eastAsia"/>
        </w:rPr>
      </w:pPr>
      <w:r>
        <w:rPr>
          <w:b/>
          <w:color w:val="A78655"/>
          <w:sz w:val="16"/>
        </w:rPr>
        <w:lastRenderedPageBreak/>
        <w:t>HEDEF H4.5</w:t>
      </w:r>
    </w:p>
    <w:p w:rsidR="001039AB" w:rsidRDefault="001152A6">
      <w:pPr>
        <w:pStyle w:val="Balk1"/>
      </w:pPr>
      <w:r>
        <w:t>H4.5 • Ders dışı öğrenme ve yaratıcı gelişimi güçlendirmek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ders dışı eğitim faaliyetlerini öğrencinin gelişiminin parçası olarak ele alır.</w:t>
            </w:r>
          </w:p>
        </w:tc>
      </w:tr>
    </w:tbl>
    <w:p w:rsidR="001039AB" w:rsidRDefault="001152A6">
      <w:pPr>
        <w:pStyle w:val="Balk2"/>
      </w:pPr>
      <w:r>
        <w:t>GSF stratejik yorumu</w:t>
      </w:r>
    </w:p>
    <w:p w:rsidR="001039AB" w:rsidRDefault="001152A6">
      <w:pPr>
        <w:rPr>
          <w:rFonts w:hint="eastAsia"/>
        </w:rPr>
      </w:pPr>
      <w:r>
        <w:t>GSF’de ders dışı öğrenme; misafir sanatçı, sergi ziyareti, film gösterimi, kritik, çalıştay, yarışma, portfolyo günü, müze/alan çalışması, öğrenci topluluğu ve bağımsız üretim ortamlarını kapsar.</w:t>
      </w:r>
    </w:p>
    <w:p w:rsidR="001039AB" w:rsidRDefault="001152A6">
      <w:pPr>
        <w:pStyle w:val="Balk2"/>
      </w:pPr>
      <w:r>
        <w:t>Öncelikli stratejiler</w:t>
      </w:r>
    </w:p>
    <w:p w:rsidR="001039AB" w:rsidRDefault="001152A6">
      <w:pPr>
        <w:pStyle w:val="ListeMaddemi"/>
        <w:spacing w:after="60"/>
        <w:rPr>
          <w:rFonts w:hint="eastAsia"/>
        </w:rPr>
      </w:pPr>
      <w:r>
        <w:t>Yıllık GSF yaratıcı öğrenme takvimi.</w:t>
      </w:r>
    </w:p>
    <w:p w:rsidR="001039AB" w:rsidRDefault="001152A6">
      <w:pPr>
        <w:pStyle w:val="ListeMaddemi"/>
        <w:spacing w:after="60"/>
        <w:rPr>
          <w:rFonts w:hint="eastAsia"/>
        </w:rPr>
      </w:pPr>
      <w:r>
        <w:t>Bölüm bazlı ders dışı öğrenme hedefleri.</w:t>
      </w:r>
    </w:p>
    <w:p w:rsidR="001039AB" w:rsidRDefault="001152A6">
      <w:pPr>
        <w:pStyle w:val="ListeMaddemi"/>
        <w:spacing w:after="60"/>
        <w:rPr>
          <w:rFonts w:hint="eastAsia"/>
        </w:rPr>
      </w:pPr>
      <w:r>
        <w:t>Etkinlikleri ders çıktıları ve portfolyo gelişimiyle ilişkilendirme.</w:t>
      </w:r>
    </w:p>
    <w:p w:rsidR="001039AB" w:rsidRDefault="001152A6">
      <w:pPr>
        <w:pStyle w:val="ListeMaddemi"/>
        <w:spacing w:after="60"/>
        <w:rPr>
          <w:rFonts w:hint="eastAsia"/>
        </w:rPr>
      </w:pPr>
      <w:r>
        <w:t>Katılım kadar öğrenme/geri bildirim ölçümü.</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46"/>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Öğrenci başına ders dışı nitelikli öğrenme deneyimi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Kayıtlı faaliyet / aktif öğrenci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Etkinlik sistemi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≥2</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≥3</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≥3</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Dersle ilişkilendirilmiş etkinlik oranı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Öğrenme çıktısı belirtilen faaliyet</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Etkinlik formu</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≥%50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≥%65</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≥%75</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Etki/geri bildirim ölçülen büyük faaliyet</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Standart etki formu</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Rapor</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≥%60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≥%85</w:t>
            </w:r>
          </w:p>
        </w:tc>
      </w:tr>
    </w:tbl>
    <w:p w:rsidR="001039AB" w:rsidRDefault="001152A6">
      <w:pPr>
        <w:keepNext/>
        <w:rPr>
          <w:rFonts w:hint="eastAsia"/>
        </w:rPr>
      </w:pPr>
      <w:r>
        <w:rPr>
          <w:b/>
          <w:color w:val="A78655"/>
          <w:sz w:val="16"/>
        </w:rPr>
        <w:t>HEDEF H4.6</w:t>
      </w:r>
    </w:p>
    <w:p w:rsidR="001039AB" w:rsidRDefault="001152A6">
      <w:pPr>
        <w:pStyle w:val="Balk1"/>
      </w:pPr>
      <w:r>
        <w:t>H4.6 • Öğrencilerin sanatsal, kültürel ve toplum hizmeti faaliyetlerine katılımını artırmak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H4.6 öğrencilerin bilimsel, kültürel, sanatsal, sportif ve toplum hizmeti faaliyetlerine katılımını artırmayı hedefler.</w:t>
            </w:r>
          </w:p>
        </w:tc>
      </w:tr>
    </w:tbl>
    <w:p w:rsidR="001039AB" w:rsidRDefault="001152A6">
      <w:pPr>
        <w:pStyle w:val="Balk2"/>
      </w:pPr>
      <w:r>
        <w:t>GSF stratejik yorumu</w:t>
      </w:r>
    </w:p>
    <w:p w:rsidR="001039AB" w:rsidRDefault="001152A6">
      <w:pPr>
        <w:rPr>
          <w:rFonts w:hint="eastAsia"/>
        </w:rPr>
      </w:pPr>
      <w:r>
        <w:t>GSF için öğrenci katılımı eğitim çıktısının görünür alanıdır. Öğrenci yalnız izleyici değil; eser üreten, proje geliştiren, kamusal bağlamda sorumluluk alan ve gerektiğinde etkinliği birlikte tasarlayan aktördür.</w:t>
      </w:r>
    </w:p>
    <w:p w:rsidR="001039AB" w:rsidRDefault="001152A6">
      <w:pPr>
        <w:pStyle w:val="Balk2"/>
      </w:pPr>
      <w:r>
        <w:t>Öncelikli stratejiler</w:t>
      </w:r>
    </w:p>
    <w:p w:rsidR="001039AB" w:rsidRDefault="001152A6">
      <w:pPr>
        <w:pStyle w:val="ListeMaddemi"/>
        <w:spacing w:after="60"/>
        <w:rPr>
          <w:rFonts w:hint="eastAsia"/>
        </w:rPr>
      </w:pPr>
      <w:r>
        <w:t>Her bölüm için öğrenci üretim ve görünürlük planı.</w:t>
      </w:r>
    </w:p>
    <w:p w:rsidR="001039AB" w:rsidRDefault="001152A6">
      <w:pPr>
        <w:pStyle w:val="ListeMaddemi"/>
        <w:spacing w:after="60"/>
        <w:rPr>
          <w:rFonts w:hint="eastAsia"/>
        </w:rPr>
      </w:pPr>
      <w:r>
        <w:t>Genç Sanat Günleri ve benzeri öğrenci merkezli platformlar.</w:t>
      </w:r>
    </w:p>
    <w:p w:rsidR="001039AB" w:rsidRDefault="001152A6">
      <w:pPr>
        <w:pStyle w:val="ListeMaddemi"/>
        <w:spacing w:after="60"/>
        <w:rPr>
          <w:rFonts w:hint="eastAsia"/>
        </w:rPr>
      </w:pPr>
      <w:r>
        <w:t>Kamusal sanat ve toplumsal katkı projeleri.</w:t>
      </w:r>
    </w:p>
    <w:p w:rsidR="001039AB" w:rsidRDefault="001152A6">
      <w:pPr>
        <w:pStyle w:val="ListeMaddemi"/>
        <w:spacing w:after="60"/>
        <w:rPr>
          <w:rFonts w:hint="eastAsia"/>
        </w:rPr>
      </w:pPr>
      <w:r>
        <w:t>Öğrenci proje çağrıları ve mikro destek modeli.</w:t>
      </w:r>
    </w:p>
    <w:p w:rsidR="001039AB" w:rsidRDefault="001152A6">
      <w:pPr>
        <w:pStyle w:val="ListeMaddemi"/>
        <w:spacing w:after="60"/>
        <w:rPr>
          <w:rFonts w:hint="eastAsia"/>
        </w:rPr>
      </w:pPr>
      <w:r>
        <w:t>Öğrenci etkinliklerinde erişilebilirlik ve sürdürülebilirlik ilkeleri.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472"/>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Sanatsal/kültürel üretime aktif katılan öğrenci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En az bir kayıtlı üretim/etkinlik rolü</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Etkinlik envanteri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≥%85</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Öğrenci katılımlı sanatsal çıktı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Sergi/gösterim/film/proje</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Envanter</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+15%</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+30%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+40%</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Toplumsal katkı projesine katılan öğrenci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Aktif rol alan öğrenci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Proje kayıtları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+25%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+35%</w:t>
            </w:r>
          </w:p>
        </w:tc>
      </w:tr>
    </w:tbl>
    <w:p w:rsidR="001039AB" w:rsidRDefault="001152A6">
      <w:pPr>
        <w:spacing w:before="100" w:after="20"/>
        <w:rPr>
          <w:rFonts w:hint="eastAsia"/>
        </w:rPr>
      </w:pPr>
      <w:r>
        <w:rPr>
          <w:b/>
          <w:color w:val="5C6F88"/>
          <w:sz w:val="15"/>
        </w:rPr>
        <w:t>16 / STRATEJI GELIŞTIRME</w:t>
      </w:r>
    </w:p>
    <w:p w:rsidR="001039AB" w:rsidRDefault="001152A6">
      <w:pPr>
        <w:pStyle w:val="Balk1"/>
      </w:pPr>
      <w:r>
        <w:t>A5 • Kurumsallaşma ve Kurum Kültürü</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AMACI</w:t>
            </w:r>
            <w:r>
              <w:rPr>
                <w:b/>
                <w:color w:val="A78655"/>
                <w:sz w:val="17"/>
              </w:rPr>
              <w:br/>
            </w:r>
            <w:r>
              <w:rPr>
                <w:b/>
                <w:color w:val="18212B"/>
                <w:sz w:val="15"/>
              </w:rPr>
              <w:t>Kurumsallaşma ve kurum kültürünün güçlendirilmesi.</w:t>
            </w:r>
          </w:p>
        </w:tc>
      </w:tr>
    </w:tbl>
    <w:p w:rsidR="001039AB" w:rsidRDefault="001152A6">
      <w:pPr>
        <w:rPr>
          <w:rFonts w:hint="eastAsia"/>
        </w:rPr>
      </w:pPr>
      <w:r>
        <w:lastRenderedPageBreak/>
        <w:t>GSF’de kurumsallaşma; kişiye bağlı işleyişten standarda, dağınık veriden kurumsal hafızaya, yalnız karar almaktan kararın sonucunu izlemeye, sorun çıktığında müdahaleden PUKÖ temelli önleyici yönetime geçiş anlamına gelir.</w:t>
      </w:r>
    </w:p>
    <w:p w:rsidR="001039AB" w:rsidRDefault="001152A6">
      <w:pPr>
        <w:keepNext/>
        <w:rPr>
          <w:rFonts w:hint="eastAsia"/>
        </w:rPr>
      </w:pPr>
      <w:r>
        <w:rPr>
          <w:b/>
          <w:color w:val="A78655"/>
          <w:sz w:val="16"/>
        </w:rPr>
        <w:t>HEDEF H5.1</w:t>
      </w:r>
    </w:p>
    <w:p w:rsidR="001039AB" w:rsidRDefault="001152A6">
      <w:pPr>
        <w:pStyle w:val="Balk1"/>
      </w:pPr>
      <w:r>
        <w:t>H5.1 • Kurum iş ve hizmet kalitesini artırmak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kurumsal iş ve hizmet kalitesinin geliştirilmesini hedefler.</w:t>
            </w:r>
          </w:p>
        </w:tc>
      </w:tr>
    </w:tbl>
    <w:p w:rsidR="001039AB" w:rsidRDefault="001152A6">
      <w:pPr>
        <w:pStyle w:val="Balk2"/>
      </w:pPr>
      <w:r>
        <w:t>GSF stratejik yorumu</w:t>
      </w:r>
    </w:p>
    <w:p w:rsidR="001039AB" w:rsidRDefault="001152A6">
      <w:pPr>
        <w:rPr>
          <w:rFonts w:hint="eastAsia"/>
        </w:rPr>
      </w:pPr>
      <w:r>
        <w:t>GSF’de bu hedef; açık görev tanımları, koordinatörlük sistemi, standart formlar, dijital arşiv, süreç süreleri, veri kalitesi ve öğrenci/personel hizmet deneyimiyle ölçülür.</w:t>
      </w:r>
    </w:p>
    <w:p w:rsidR="001039AB" w:rsidRDefault="001152A6">
      <w:pPr>
        <w:pStyle w:val="Balk2"/>
      </w:pPr>
      <w:r>
        <w:t>Öncelikli stratejiler</w:t>
      </w:r>
    </w:p>
    <w:p w:rsidR="001039AB" w:rsidRDefault="001152A6">
      <w:pPr>
        <w:pStyle w:val="ListeMaddemi"/>
        <w:spacing w:after="60"/>
        <w:rPr>
          <w:rFonts w:hint="eastAsia"/>
        </w:rPr>
      </w:pPr>
      <w:r>
        <w:t>Ana süreçlerin iş akışlarını tanımlamak.</w:t>
      </w:r>
    </w:p>
    <w:p w:rsidR="001039AB" w:rsidRDefault="001152A6">
      <w:pPr>
        <w:pStyle w:val="ListeMaddemi"/>
        <w:spacing w:after="60"/>
        <w:rPr>
          <w:rFonts w:hint="eastAsia"/>
        </w:rPr>
      </w:pPr>
      <w:r>
        <w:t>Koordinatörlük raporlarını ortak kalite sistemine bağlamak.</w:t>
      </w:r>
    </w:p>
    <w:p w:rsidR="001039AB" w:rsidRDefault="001152A6">
      <w:pPr>
        <w:pStyle w:val="ListeMaddemi"/>
        <w:spacing w:after="60"/>
        <w:rPr>
          <w:rFonts w:hint="eastAsia"/>
        </w:rPr>
      </w:pPr>
      <w:r>
        <w:t>Dijital kanıt ve kurumsal arşiv standardı.</w:t>
      </w:r>
    </w:p>
    <w:p w:rsidR="001039AB" w:rsidRDefault="001152A6">
      <w:pPr>
        <w:pStyle w:val="ListeMaddemi"/>
        <w:spacing w:after="60"/>
        <w:rPr>
          <w:rFonts w:hint="eastAsia"/>
        </w:rPr>
      </w:pPr>
      <w:r>
        <w:t>Karar/eylem izleme matrisi.</w:t>
      </w:r>
    </w:p>
    <w:p w:rsidR="001039AB" w:rsidRDefault="001152A6">
      <w:pPr>
        <w:pStyle w:val="ListeMaddemi"/>
        <w:spacing w:after="60"/>
        <w:rPr>
          <w:rFonts w:hint="eastAsia"/>
        </w:rPr>
      </w:pPr>
      <w:r>
        <w:t>İdari süreçlerde uygun AI/dijital araçlarla insan denetimli iyileştirme.</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46"/>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Tanımlı ve güncel ana süreç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İş akışı+sorumlu+çıktı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Süreç envanteri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Zamanında kapanan kalite kararı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Termininde tamamlanan / toplam</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Karar matrisi</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Üç aylık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≥%75</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≥%82</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≥%90</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Dijital kanıt arşivleme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Zorunlu kanıtı arşivlenen süreç</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Kanıt envanteri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r>
    </w:tbl>
    <w:p w:rsidR="001039AB" w:rsidRDefault="001152A6">
      <w:pPr>
        <w:keepNext/>
        <w:rPr>
          <w:rFonts w:hint="eastAsia"/>
        </w:rPr>
      </w:pPr>
      <w:r>
        <w:rPr>
          <w:b/>
          <w:color w:val="A78655"/>
          <w:sz w:val="16"/>
        </w:rPr>
        <w:t>HEDEF H5.2</w:t>
      </w:r>
    </w:p>
    <w:p w:rsidR="001039AB" w:rsidRDefault="001152A6">
      <w:pPr>
        <w:pStyle w:val="Balk1"/>
      </w:pPr>
      <w:r>
        <w:t>H5.2 • Kurumsal aidiyeti ve katılımı güçlendirmek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t>GAÜN H5.2 personel ve öğrenci memnuniyeti ile mezun takip sistemini izler.</w:t>
            </w:r>
          </w:p>
        </w:tc>
      </w:tr>
    </w:tbl>
    <w:p w:rsidR="001039AB" w:rsidRDefault="001152A6">
      <w:pPr>
        <w:pStyle w:val="Balk2"/>
      </w:pPr>
      <w:r>
        <w:t>GSF stratejik yorumu</w:t>
      </w:r>
    </w:p>
    <w:p w:rsidR="001039AB" w:rsidRDefault="001152A6">
      <w:pPr>
        <w:rPr>
          <w:rFonts w:hint="eastAsia"/>
        </w:rPr>
      </w:pPr>
      <w:r>
        <w:t>GSF’de aidiyet, memnuniyetin ötesinde katılım, görünürlük, güven, ortak üretim ve karar süreçlerine erişimle ele alınır.</w:t>
      </w:r>
    </w:p>
    <w:p w:rsidR="001039AB" w:rsidRDefault="001152A6">
      <w:pPr>
        <w:pStyle w:val="Balk2"/>
      </w:pPr>
      <w:r>
        <w:t>Öncelikli stratejiler</w:t>
      </w:r>
    </w:p>
    <w:p w:rsidR="001039AB" w:rsidRDefault="001152A6">
      <w:pPr>
        <w:pStyle w:val="ListeMaddemi"/>
        <w:spacing w:after="60"/>
        <w:rPr>
          <w:rFonts w:hint="eastAsia"/>
        </w:rPr>
      </w:pPr>
      <w:r>
        <w:t>Yıllık öğrenci/personel deneyim anketi.</w:t>
      </w:r>
    </w:p>
    <w:p w:rsidR="001039AB" w:rsidRDefault="001152A6">
      <w:pPr>
        <w:pStyle w:val="ListeMaddemi"/>
        <w:spacing w:after="60"/>
        <w:rPr>
          <w:rFonts w:hint="eastAsia"/>
        </w:rPr>
      </w:pPr>
      <w:r>
        <w:t>Öğrenci temsil ve katılım mekanizmaları.</w:t>
      </w:r>
    </w:p>
    <w:p w:rsidR="001039AB" w:rsidRDefault="001152A6">
      <w:pPr>
        <w:pStyle w:val="ListeMaddemi"/>
        <w:spacing w:after="60"/>
        <w:rPr>
          <w:rFonts w:hint="eastAsia"/>
        </w:rPr>
      </w:pPr>
      <w:r>
        <w:t>Mezun ağı ve mentorluk.</w:t>
      </w:r>
    </w:p>
    <w:p w:rsidR="001039AB" w:rsidRDefault="001152A6">
      <w:pPr>
        <w:pStyle w:val="ListeMaddemi"/>
        <w:spacing w:after="60"/>
        <w:rPr>
          <w:rFonts w:hint="eastAsia"/>
        </w:rPr>
      </w:pPr>
      <w:r>
        <w:t>İyi uygulama paylaşımı ve kurumsal takdir.</w:t>
      </w:r>
    </w:p>
    <w:p w:rsidR="001039AB" w:rsidRDefault="001152A6">
      <w:pPr>
        <w:pStyle w:val="ListeMaddemi"/>
        <w:spacing w:after="60"/>
        <w:rPr>
          <w:rFonts w:hint="eastAsia"/>
        </w:rPr>
      </w:pPr>
      <w:r>
        <w:t>Siz Söylediniz-Biz Yaptık görünürlük sistemi.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46"/>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Öğrenci genel deneyim puanı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5’li ölçek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 anket</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≥4.0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≥4.1</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≥4.2</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Personel deneyim puanı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5’li ölçek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 anket</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Baz+0.1</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Baz+0.2</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≥4.0</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Mezun izleme yanıt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Yanıtlayan / ulaşılabilen</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Mezun sistemi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≥%50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≥%60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Geri bildirimden iyileştirmeye dönüşen konu</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Kapatılan / önceliklendirilen</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PUKÖ</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≥%60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≥%70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≥%80</w:t>
            </w:r>
          </w:p>
        </w:tc>
      </w:tr>
    </w:tbl>
    <w:p w:rsidR="001039AB" w:rsidRDefault="001152A6">
      <w:pPr>
        <w:keepNext/>
        <w:rPr>
          <w:rFonts w:hint="eastAsia"/>
        </w:rPr>
      </w:pPr>
      <w:r>
        <w:rPr>
          <w:b/>
          <w:color w:val="A78655"/>
          <w:sz w:val="16"/>
        </w:rPr>
        <w:t>HEDEF H5.3</w:t>
      </w:r>
    </w:p>
    <w:p w:rsidR="001039AB" w:rsidRDefault="001152A6">
      <w:pPr>
        <w:pStyle w:val="Balk1"/>
      </w:pPr>
      <w:r>
        <w:t>H5.3 • Veriye dayalı, sürdürülebilir ve öğrenen fakülte kapasitesini güçlendirmek</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GAÜN ÇERÇEVESI</w:t>
            </w:r>
            <w:r>
              <w:rPr>
                <w:b/>
                <w:color w:val="A78655"/>
                <w:sz w:val="17"/>
              </w:rPr>
              <w:br/>
            </w:r>
            <w:r>
              <w:rPr>
                <w:b/>
                <w:color w:val="18212B"/>
                <w:sz w:val="15"/>
              </w:rPr>
              <w:lastRenderedPageBreak/>
              <w:t>GAÜN kurumsallaşma yaklaşımı kalite kültürü, sürdürülebilirlik ve kurumsal hafızayı güçlendirmeyi gerektirir.</w:t>
            </w:r>
          </w:p>
        </w:tc>
      </w:tr>
    </w:tbl>
    <w:p w:rsidR="001039AB" w:rsidRDefault="001152A6">
      <w:pPr>
        <w:pStyle w:val="Balk2"/>
      </w:pPr>
      <w:r>
        <w:lastRenderedPageBreak/>
        <w:t>GSF stratejik yorumu</w:t>
      </w:r>
    </w:p>
    <w:p w:rsidR="001039AB" w:rsidRDefault="001152A6">
      <w:pPr>
        <w:rPr>
          <w:rFonts w:hint="eastAsia"/>
        </w:rPr>
      </w:pPr>
      <w:r>
        <w:t>GSF bu hedefi çekirdek gösterge paneli, yıllık kalite takvimi, risk/fırsat yönetimi, kaynak verimliliği ve kapatılan PUKÖ döngüleri üzerinden işletir.</w:t>
      </w:r>
    </w:p>
    <w:p w:rsidR="001039AB" w:rsidRDefault="001152A6">
      <w:pPr>
        <w:pStyle w:val="Balk2"/>
      </w:pPr>
      <w:r>
        <w:t>Öncelikli stratejiler</w:t>
      </w:r>
    </w:p>
    <w:p w:rsidR="001039AB" w:rsidRDefault="001152A6">
      <w:pPr>
        <w:pStyle w:val="ListeMaddemi"/>
        <w:spacing w:after="60"/>
        <w:rPr>
          <w:rFonts w:hint="eastAsia"/>
        </w:rPr>
      </w:pPr>
      <w:r>
        <w:t>GSF kurumsal gösterge paneli.</w:t>
      </w:r>
    </w:p>
    <w:p w:rsidR="001039AB" w:rsidRDefault="001152A6">
      <w:pPr>
        <w:pStyle w:val="ListeMaddemi"/>
        <w:spacing w:after="60"/>
        <w:rPr>
          <w:rFonts w:hint="eastAsia"/>
        </w:rPr>
      </w:pPr>
      <w:r>
        <w:t>Yıllık stratejik öncelikler belgesi.</w:t>
      </w:r>
    </w:p>
    <w:p w:rsidR="001039AB" w:rsidRDefault="001152A6">
      <w:pPr>
        <w:pStyle w:val="ListeMaddemi"/>
        <w:spacing w:after="60"/>
        <w:rPr>
          <w:rFonts w:hint="eastAsia"/>
        </w:rPr>
      </w:pPr>
      <w:r>
        <w:t>Altı aylık ve yıllık stratejik izleme.</w:t>
      </w:r>
    </w:p>
    <w:p w:rsidR="001039AB" w:rsidRDefault="001152A6">
      <w:pPr>
        <w:pStyle w:val="ListeMaddemi"/>
        <w:spacing w:after="60"/>
        <w:rPr>
          <w:rFonts w:hint="eastAsia"/>
        </w:rPr>
      </w:pPr>
      <w:r>
        <w:t>Risk ve fırsat kayıt sistemi.</w:t>
      </w:r>
    </w:p>
    <w:p w:rsidR="001039AB" w:rsidRDefault="001152A6">
      <w:pPr>
        <w:pStyle w:val="ListeMaddemi"/>
        <w:spacing w:after="60"/>
        <w:rPr>
          <w:rFonts w:hint="eastAsia"/>
        </w:rPr>
      </w:pPr>
      <w:r>
        <w:t>Kaynak/alan kullanım verisinin karar süreçlerine girmesi.</w:t>
      </w:r>
    </w:p>
    <w:p w:rsidR="001039AB" w:rsidRDefault="001152A6">
      <w:pPr>
        <w:pStyle w:val="ListeMaddemi"/>
        <w:spacing w:after="60"/>
        <w:rPr>
          <w:rFonts w:hint="eastAsia"/>
        </w:rPr>
      </w:pPr>
      <w:r>
        <w:t>İyi uygulamaların standartlaştırılması ve yaygınlaştırılması.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46"/>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Kapatılan PUKÖ döngüsü oranı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Sonuç kanıtıyla kapatılan / toplam</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PUKÖ matrisi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≥%65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≥%85</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Düzey 4-5 kanıtla desteklenen iyileştirme</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Sonuç/etki kanıtlı faaliyet</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Kanıt kontrolü</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≥%60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≥%70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≥%80</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 stratejik gösterge veri tamlığı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Zamanında girilen / zorunlu veri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Gösterge paneli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r>
    </w:tbl>
    <w:p w:rsidR="001039AB" w:rsidRDefault="001152A6">
      <w:pPr>
        <w:pStyle w:val="Balk2"/>
      </w:pPr>
      <w:r>
        <w:t>Başlıca riskler ve kontroller</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Risk</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Kontrol / yanıt</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Kalite sisteminin bürokrasiye dönüşmesi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Az ve karar üreten göstergeler; gereksiz form üretmeme.</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Veri kalitesinin düşük olması</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Gösterge sözlüğü ve tek veri sorumlusu.</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Kurumsal hafızanın kişilere bağlı kalması</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Dijital arşiv ve standart raporlama.</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Kararların kapanmaması</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Termin, sorumlu, sonuç kanıtı ve üst izleme.</w:t>
            </w:r>
          </w:p>
        </w:tc>
      </w:tr>
    </w:tbl>
    <w:p w:rsidR="001039AB" w:rsidRDefault="001152A6">
      <w:pPr>
        <w:spacing w:before="100" w:after="20"/>
        <w:rPr>
          <w:rFonts w:hint="eastAsia"/>
        </w:rPr>
      </w:pPr>
      <w:r>
        <w:rPr>
          <w:b/>
          <w:color w:val="5C6F88"/>
          <w:sz w:val="15"/>
        </w:rPr>
        <w:t>17 / YATAY DÖNÜŞÜM</w:t>
      </w:r>
    </w:p>
    <w:p w:rsidR="001039AB" w:rsidRDefault="001152A6">
      <w:pPr>
        <w:pStyle w:val="Balk1"/>
      </w:pPr>
      <w:r>
        <w:t>Yapay Zekâ ve Yaratıcı Teknolojiler</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TEMEL ILKE</w:t>
            </w:r>
            <w:r>
              <w:rPr>
                <w:b/>
                <w:color w:val="A78655"/>
                <w:sz w:val="17"/>
              </w:rPr>
              <w:br/>
            </w:r>
            <w:r>
              <w:rPr>
                <w:b/>
                <w:color w:val="18212B"/>
                <w:sz w:val="15"/>
              </w:rPr>
              <w:t>Yapay zekâ, insanın düşünsel emeğini, yaratıcı kararlarını, araştırma süreçlerini ve ifade olanaklarını geliştiren; sanatçının yaratıcı iradesini destekleyen bir araçtır.</w:t>
            </w:r>
          </w:p>
        </w:tc>
      </w:tr>
    </w:tbl>
    <w:p w:rsidR="001039AB" w:rsidRDefault="001152A6">
      <w:pPr>
        <w:rPr>
          <w:rFonts w:hint="eastAsia"/>
        </w:rPr>
      </w:pPr>
      <w:r>
        <w:t>GSF Yapay Zekâ Kullanım Politikası ve El Kitabı; eğitim, sanatsal üretim, bilimsel araştırma ve kurumsal süreçlerde insan merkezli, eleştirel ve sorumlu kullanım çerçevesi sunar. Stratejik plan bu politikayı A1, A3, A4 ve A5 hedefleriyle ilişkilendirerek uygulama ve ölçme katmanına taşır.</w:t>
      </w:r>
    </w:p>
    <w:p w:rsidR="001039AB" w:rsidRDefault="001152A6">
      <w:pPr>
        <w:spacing w:before="100" w:after="20"/>
        <w:rPr>
          <w:rFonts w:hint="eastAsia"/>
        </w:rPr>
      </w:pPr>
      <w:r>
        <w:rPr>
          <w:b/>
          <w:color w:val="5C6F88"/>
          <w:sz w:val="15"/>
        </w:rPr>
        <w:t>17 / EĞITIM</w:t>
      </w:r>
    </w:p>
    <w:p w:rsidR="001039AB" w:rsidRDefault="001152A6">
      <w:pPr>
        <w:pStyle w:val="Balk1"/>
      </w:pPr>
      <w:r>
        <w:t>Öğrenci AI Okuryazarlığı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Yetkinlik</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Öğrencinin yapabilmesi beklenen</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Temel kavrayış</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AI’ın ne yapabildiğini ve sınırlarını açıklamak.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Doğrulama</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Çıktıyı kaynak ve bağlamla kontrol etmek.</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Etik/telif</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Kaynak, veri, izin, telif ve beyan sorumluluğunu bilmek.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Önyargı</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Algoritmik ve kültürel önyargıyı fark etmek.</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Yaratıcı karar</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AI önerisini eleştirmek, reddetmek, dönüştürmek.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Beyan</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Kayda değer AI katkısını uygun biçimde açıklamak.</w:t>
            </w:r>
          </w:p>
        </w:tc>
      </w:tr>
    </w:tbl>
    <w:p w:rsidR="001039AB" w:rsidRDefault="001152A6">
      <w:pPr>
        <w:spacing w:before="100" w:after="20"/>
        <w:rPr>
          <w:rFonts w:hint="eastAsia"/>
        </w:rPr>
      </w:pPr>
      <w:r>
        <w:rPr>
          <w:b/>
          <w:color w:val="5C6F88"/>
          <w:sz w:val="15"/>
        </w:rPr>
        <w:t>17 / BÖLÜMLER</w:t>
      </w:r>
    </w:p>
    <w:p w:rsidR="001039AB" w:rsidRDefault="001152A6">
      <w:pPr>
        <w:pStyle w:val="Balk1"/>
      </w:pPr>
      <w:r>
        <w:lastRenderedPageBreak/>
        <w:t>Bölüme Özgü AI Entegrasyonu</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Alan</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Örnek entegrasyon</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Resim</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Görsel araştırma, varyasyon, AI estetiği eleştirisi, süreç beyanı.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Grafik</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Generatif tasarım, tipografi/görsel sistem, marka etiği, veri.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Film</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Senaryo geliştirme, storyboard, previsualization, görüntü/ses ve deepfake etiği.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Tekstil/Moda</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Desen, koleksiyon araştırması, sanal prototipleme, kültürel motif etiği.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Seramik/Cam</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Form araştırması, parametrik/generatif tasarım, dijital modelleme.</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Geleneksel Sanatlar</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Kültürel bağlam, otantiklik, veri kaynağı ve yeniden yorumlama etiği.</w:t>
            </w:r>
          </w:p>
        </w:tc>
      </w:tr>
    </w:tbl>
    <w:p w:rsidR="001039AB" w:rsidRDefault="001152A6">
      <w:pPr>
        <w:spacing w:before="100" w:after="20"/>
        <w:rPr>
          <w:rFonts w:hint="eastAsia"/>
        </w:rPr>
      </w:pPr>
      <w:r>
        <w:rPr>
          <w:b/>
          <w:color w:val="5C6F88"/>
          <w:sz w:val="15"/>
        </w:rPr>
        <w:t>17 / ÖLÇME</w:t>
      </w:r>
    </w:p>
    <w:p w:rsidR="001039AB" w:rsidRDefault="001152A6">
      <w:pPr>
        <w:pStyle w:val="Balk1"/>
      </w:pPr>
      <w:r>
        <w:t>AI Çağında Ölçme ve Değerlendirme</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DEĞERLENDIRME FORMÜLÜ</w:t>
            </w:r>
            <w:r>
              <w:rPr>
                <w:b/>
                <w:color w:val="A78655"/>
                <w:sz w:val="17"/>
              </w:rPr>
              <w:br/>
            </w:r>
            <w:r>
              <w:rPr>
                <w:b/>
                <w:color w:val="18212B"/>
                <w:sz w:val="15"/>
              </w:rPr>
              <w:t>SONUÇ + SÜREÇ + KARAR + GEREKÇE + ÖZGÜNLÜK</w:t>
            </w:r>
          </w:p>
        </w:tc>
      </w:tr>
    </w:tbl>
    <w:p w:rsidR="001039AB" w:rsidRDefault="001152A6">
      <w:pPr>
        <w:rPr>
          <w:rFonts w:hint="eastAsia"/>
        </w:rPr>
      </w:pPr>
      <w:r>
        <w:t>AI kullanımının olası olduğu değerlendirmelerde yalnız nihai ürünün incelenmesi yetersizdir. Öğrencinin süreç kanıtı, eskiz/ara aşamalar, karar gerekçesi, kullanılan araç ve insan katkısı gerektiğinde değerlendirme kanıtı olarak kullanılır. Teknik tespit araçları tek başına ihlal kararı için yeterli kabul edilmez; bütüncül kanıt ve öğrenci açıklaması birlikte değerlendirilir.</w:t>
      </w:r>
    </w:p>
    <w:p w:rsidR="001039AB" w:rsidRDefault="001152A6">
      <w:pPr>
        <w:spacing w:before="100" w:after="20"/>
        <w:rPr>
          <w:rFonts w:hint="eastAsia"/>
        </w:rPr>
      </w:pPr>
      <w:r>
        <w:rPr>
          <w:b/>
          <w:color w:val="5C6F88"/>
          <w:sz w:val="15"/>
        </w:rPr>
        <w:t>17 / ARAŞTIRMA</w:t>
      </w:r>
    </w:p>
    <w:p w:rsidR="001039AB" w:rsidRDefault="001152A6">
      <w:pPr>
        <w:pStyle w:val="Balk1"/>
      </w:pPr>
      <w:r>
        <w:t>AI ve Sanatsal Araştırma</w:t>
      </w:r>
    </w:p>
    <w:p w:rsidR="001039AB" w:rsidRDefault="001152A6">
      <w:pPr>
        <w:pStyle w:val="ListeMaddemi"/>
        <w:spacing w:after="60"/>
        <w:rPr>
          <w:rFonts w:hint="eastAsia"/>
        </w:rPr>
      </w:pPr>
      <w:r>
        <w:t>AI estetiği ve görsel kültür.</w:t>
      </w:r>
    </w:p>
    <w:p w:rsidR="001039AB" w:rsidRDefault="001152A6">
      <w:pPr>
        <w:pStyle w:val="ListeMaddemi"/>
        <w:spacing w:after="60"/>
        <w:rPr>
          <w:rFonts w:hint="eastAsia"/>
        </w:rPr>
      </w:pPr>
      <w:r>
        <w:t>İnsan-makine ortak üretimi.</w:t>
      </w:r>
    </w:p>
    <w:p w:rsidR="001039AB" w:rsidRDefault="001152A6">
      <w:pPr>
        <w:pStyle w:val="ListeMaddemi"/>
        <w:spacing w:after="60"/>
        <w:rPr>
          <w:rFonts w:hint="eastAsia"/>
        </w:rPr>
      </w:pPr>
      <w:r>
        <w:t>Generatif sanat ve hesaplamalı yaratıcılık.</w:t>
      </w:r>
    </w:p>
    <w:p w:rsidR="001039AB" w:rsidRDefault="001152A6">
      <w:pPr>
        <w:pStyle w:val="ListeMaddemi"/>
        <w:spacing w:after="60"/>
        <w:rPr>
          <w:rFonts w:hint="eastAsia"/>
        </w:rPr>
      </w:pPr>
      <w:r>
        <w:t>AI ve kültürel miras temsili.</w:t>
      </w:r>
    </w:p>
    <w:p w:rsidR="001039AB" w:rsidRDefault="001152A6">
      <w:pPr>
        <w:pStyle w:val="ListeMaddemi"/>
        <w:spacing w:after="60"/>
        <w:rPr>
          <w:rFonts w:hint="eastAsia"/>
        </w:rPr>
      </w:pPr>
      <w:r>
        <w:t>Telif, veri, özgünlük ve emek.</w:t>
      </w:r>
    </w:p>
    <w:p w:rsidR="001039AB" w:rsidRDefault="001152A6">
      <w:pPr>
        <w:pStyle w:val="ListeMaddemi"/>
        <w:spacing w:after="60"/>
        <w:rPr>
          <w:rFonts w:hint="eastAsia"/>
        </w:rPr>
      </w:pPr>
      <w:r>
        <w:t>Sentetik görüntü, deepfake ve görsel gerçeklik.</w:t>
      </w:r>
    </w:p>
    <w:p w:rsidR="001039AB" w:rsidRDefault="001152A6">
      <w:pPr>
        <w:pStyle w:val="ListeMaddemi"/>
        <w:spacing w:after="60"/>
        <w:rPr>
          <w:rFonts w:hint="eastAsia"/>
        </w:rPr>
      </w:pPr>
      <w:r>
        <w:t>AI ve sanat eğitimi.</w:t>
      </w:r>
    </w:p>
    <w:p w:rsidR="001039AB" w:rsidRDefault="001152A6">
      <w:pPr>
        <w:spacing w:before="100" w:after="20"/>
        <w:rPr>
          <w:rFonts w:hint="eastAsia"/>
        </w:rPr>
      </w:pPr>
      <w:r>
        <w:rPr>
          <w:b/>
          <w:color w:val="5C6F88"/>
          <w:sz w:val="15"/>
        </w:rPr>
        <w:t>17 / YÖNETIŞIM</w:t>
      </w:r>
    </w:p>
    <w:p w:rsidR="001039AB" w:rsidRDefault="001152A6">
      <w:pPr>
        <w:pStyle w:val="Balk1"/>
      </w:pPr>
      <w:r>
        <w:t>AI Yönetişim ve Ölçüm Çerçevesi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46"/>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Temel AI okuryazarlığını tamamlayan öğrenci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Ortak modül/yeterlik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Eğitim kaydı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AI kullanım koşulu açık ders oranı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İzlencede kullanım düzeyi/beyan</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Ders kontrolü</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Dönemlik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≥%70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≥%85</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≥%95</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AI/yaratıcı teknoloji gelişimine katılan akademik personel</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 en az bir modül</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Katılım</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AI temalı sanatsal/araştırma çıktısı</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Proje/sergi/yayın</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Envanter</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+20%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+40%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+60%</w:t>
            </w:r>
          </w:p>
        </w:tc>
      </w:tr>
    </w:tbl>
    <w:p w:rsidR="001039AB" w:rsidRDefault="001152A6">
      <w:pPr>
        <w:spacing w:before="100" w:after="20"/>
        <w:rPr>
          <w:rFonts w:hint="eastAsia"/>
        </w:rPr>
      </w:pPr>
      <w:r>
        <w:rPr>
          <w:b/>
          <w:color w:val="5C6F88"/>
          <w:sz w:val="15"/>
        </w:rPr>
        <w:t>18 / YATAY DÖNÜŞÜM</w:t>
      </w:r>
    </w:p>
    <w:p w:rsidR="001039AB" w:rsidRDefault="001152A6">
      <w:pPr>
        <w:pStyle w:val="Balk1"/>
      </w:pPr>
      <w:r>
        <w:t>Etik, Erişilebilirlik ve Sürdürülebilirlik</w:t>
      </w:r>
    </w:p>
    <w:p w:rsidR="001039AB" w:rsidRDefault="001152A6">
      <w:pPr>
        <w:spacing w:before="100" w:after="20"/>
        <w:rPr>
          <w:rFonts w:hint="eastAsia"/>
        </w:rPr>
      </w:pPr>
      <w:r>
        <w:rPr>
          <w:b/>
          <w:color w:val="5C6F88"/>
          <w:sz w:val="15"/>
        </w:rPr>
        <w:t>18 / ETIK</w:t>
      </w:r>
    </w:p>
    <w:p w:rsidR="001039AB" w:rsidRDefault="001152A6">
      <w:pPr>
        <w:pStyle w:val="Balk1"/>
      </w:pPr>
      <w:r>
        <w:t>Etik ve Sorumlu Üretim</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Alan</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Temel ilke</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Akademik dürüstlük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Kaynak ve katkı şeffaflığı.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Sanatsal özgünlük</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Kavramsal ve yaratıcı kararın sahipliği.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lastRenderedPageBreak/>
              <w:t>Telif</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Eser, görsel, ses, veri ve AI girdilerinde haklara saygı.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Kültürel temsil</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Motif, miras ve toplulukların bağlamdan koparılmaması.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Veri/gizlilik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Kişisel ve kurumsal verinin korunması.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İnsan denetimi, beyan, doğrulama, önyargı farkındalığı.</w:t>
            </w:r>
          </w:p>
        </w:tc>
      </w:tr>
    </w:tbl>
    <w:p w:rsidR="001039AB" w:rsidRDefault="001152A6">
      <w:pPr>
        <w:spacing w:before="100" w:after="20"/>
        <w:rPr>
          <w:rFonts w:hint="eastAsia"/>
        </w:rPr>
      </w:pPr>
      <w:r>
        <w:rPr>
          <w:b/>
          <w:color w:val="5C6F88"/>
          <w:sz w:val="15"/>
        </w:rPr>
        <w:t>18 / ERIŞILEBILIRLIK</w:t>
      </w:r>
    </w:p>
    <w:p w:rsidR="001039AB" w:rsidRDefault="001152A6">
      <w:pPr>
        <w:pStyle w:val="Balk1"/>
      </w:pPr>
      <w:r>
        <w:t>Eşit Erişim ve Kapsayıcılık</w:t>
      </w:r>
    </w:p>
    <w:p w:rsidR="001039AB" w:rsidRDefault="001152A6">
      <w:pPr>
        <w:pStyle w:val="ListeMaddemi"/>
        <w:spacing w:after="60"/>
        <w:rPr>
          <w:rFonts w:hint="eastAsia"/>
        </w:rPr>
      </w:pPr>
      <w:r>
        <w:t>Eğitim alanlarının fiziksel erişilebilirliği.</w:t>
      </w:r>
    </w:p>
    <w:p w:rsidR="001039AB" w:rsidRDefault="001152A6">
      <w:pPr>
        <w:pStyle w:val="ListeMaddemi"/>
        <w:spacing w:after="60"/>
        <w:rPr>
          <w:rFonts w:hint="eastAsia"/>
        </w:rPr>
      </w:pPr>
      <w:r>
        <w:t>Dijital içeriklerin erişilebilir sunumu.</w:t>
      </w:r>
    </w:p>
    <w:p w:rsidR="001039AB" w:rsidRDefault="001152A6">
      <w:pPr>
        <w:pStyle w:val="ListeMaddemi"/>
        <w:spacing w:after="60"/>
        <w:rPr>
          <w:rFonts w:hint="eastAsia"/>
        </w:rPr>
      </w:pPr>
      <w:r>
        <w:t>Ölçme yöntemlerinde makul ve mevzuata uygun düzenlemeler.</w:t>
      </w:r>
    </w:p>
    <w:p w:rsidR="001039AB" w:rsidRDefault="001152A6">
      <w:pPr>
        <w:pStyle w:val="ListeMaddemi"/>
        <w:spacing w:after="60"/>
        <w:rPr>
          <w:rFonts w:hint="eastAsia"/>
        </w:rPr>
      </w:pPr>
      <w:r>
        <w:t>Malzeme/teknoloji erişim farklarının öğrenme üzerindeki etkisini azaltma.</w:t>
      </w:r>
    </w:p>
    <w:p w:rsidR="001039AB" w:rsidRDefault="001152A6">
      <w:pPr>
        <w:pStyle w:val="ListeMaddemi"/>
        <w:spacing w:after="60"/>
        <w:rPr>
          <w:rFonts w:hint="eastAsia"/>
        </w:rPr>
      </w:pPr>
      <w:r>
        <w:t>Etkinlik ve sergilerde erişilebilirlik planı.</w:t>
      </w:r>
    </w:p>
    <w:p w:rsidR="001039AB" w:rsidRDefault="001152A6">
      <w:pPr>
        <w:spacing w:before="100" w:after="20"/>
        <w:rPr>
          <w:rFonts w:hint="eastAsia"/>
        </w:rPr>
      </w:pPr>
      <w:r>
        <w:rPr>
          <w:b/>
          <w:color w:val="5C6F88"/>
          <w:sz w:val="15"/>
        </w:rPr>
        <w:t>18 / SÜRDÜRÜLEBILIRLIK</w:t>
      </w:r>
    </w:p>
    <w:p w:rsidR="001039AB" w:rsidRDefault="001152A6">
      <w:pPr>
        <w:pStyle w:val="Balk1"/>
      </w:pPr>
      <w:r>
        <w:t>Sürdürülebilir Atölye ve Üretim</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Konu</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Uygulama</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Malzeme</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Daha az toksik, yeniden kullanılabilir ve izlenebilir malzeme seçenekleri.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Atık</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Ayrıştırma, yeniden kullanım, üretim artığı envanteri.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Enerji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Fırın, dijital ekipman ve iklimlendirmede planlı kullanım.</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Sergi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Tek kullanımlık sergi malzemesini azaltma.</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Satın alma</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5"/>
              </w:rPr>
              <w:t>Dayanıklılık, bakım ve toplam sahip olma maliyeti.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Eğitim</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Sürdürülebilirlik kararını yaratıcı sürecin parçası yapmak.</w:t>
            </w:r>
          </w:p>
        </w:tc>
      </w:tr>
    </w:tbl>
    <w:p w:rsidR="001039AB" w:rsidRDefault="001152A6">
      <w:pPr>
        <w:spacing w:before="100" w:after="20"/>
        <w:rPr>
          <w:rFonts w:hint="eastAsia"/>
        </w:rPr>
      </w:pPr>
      <w:r>
        <w:rPr>
          <w:b/>
          <w:color w:val="5C6F88"/>
          <w:sz w:val="15"/>
        </w:rPr>
        <w:t>18 / ÖLÇÜM</w:t>
      </w:r>
    </w:p>
    <w:p w:rsidR="001039AB" w:rsidRDefault="001152A6">
      <w:pPr>
        <w:pStyle w:val="Balk1"/>
      </w:pPr>
      <w:r>
        <w:t>Yatay Dönüşüm Göstergeleri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246"/>
        <w:gridCol w:w="1246"/>
        <w:gridCol w:w="1246"/>
        <w:gridCol w:w="1246"/>
        <w:gridCol w:w="1246"/>
        <w:gridCol w:w="1246"/>
        <w:gridCol w:w="1246"/>
        <w:gridCol w:w="1246"/>
      </w:tblGrid>
      <w:tr w:rsidR="001039AB">
        <w:trPr>
          <w:jc w:val="center"/>
        </w:trPr>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Gösterge</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Tanım / hesaplama</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Veri kaynağı</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Sıklık</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2026</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2027</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2028</w:t>
            </w:r>
          </w:p>
        </w:tc>
        <w:tc>
          <w:tcPr>
            <w:tcW w:w="124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3"/>
              </w:rPr>
              <w:t>2029</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Erişilebilirlik değerlendirmesi yapılan alan</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Standart kontrol</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Alan formu</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≥%75</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r>
      <w:tr w:rsidR="001039AB">
        <w:trPr>
          <w:jc w:val="center"/>
        </w:trPr>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Sürdürülebilir atölye uygulaması olan bölüm</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En az 3 uygulama + kayıt</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Bölüm raporu</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≥%60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≥%80</w:t>
            </w:r>
          </w:p>
        </w:tc>
        <w:tc>
          <w:tcPr>
            <w:tcW w:w="124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3"/>
              </w:rPr>
              <w:t>%100</w:t>
            </w:r>
          </w:p>
        </w:tc>
      </w:tr>
      <w:tr w:rsidR="001039AB">
        <w:trPr>
          <w:jc w:val="center"/>
        </w:trPr>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Etik/telif temel eğitimini tamamlayan öğrenci</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Ortak modül</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Eğitim kaydı</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Yıllık</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Baz</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≥%80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≥%90</w:t>
            </w:r>
          </w:p>
        </w:tc>
        <w:tc>
          <w:tcPr>
            <w:tcW w:w="1246" w:type="dxa"/>
            <w:tcMar>
              <w:top w:w="65" w:type="dxa"/>
              <w:left w:w="75" w:type="dxa"/>
              <w:bottom w:w="65" w:type="dxa"/>
              <w:right w:w="75" w:type="dxa"/>
            </w:tcMar>
          </w:tcPr>
          <w:p w:rsidR="001039AB" w:rsidRDefault="001152A6">
            <w:pPr>
              <w:spacing w:after="0" w:line="240" w:lineRule="auto"/>
              <w:rPr>
                <w:rFonts w:hint="eastAsia"/>
              </w:rPr>
            </w:pPr>
            <w:r>
              <w:rPr>
                <w:sz w:val="13"/>
              </w:rPr>
              <w:t>%100</w:t>
            </w:r>
          </w:p>
        </w:tc>
      </w:tr>
    </w:tbl>
    <w:p w:rsidR="001039AB" w:rsidRDefault="001152A6">
      <w:pPr>
        <w:spacing w:before="100" w:after="20"/>
        <w:rPr>
          <w:rFonts w:hint="eastAsia"/>
        </w:rPr>
      </w:pPr>
      <w:r>
        <w:rPr>
          <w:b/>
          <w:color w:val="5C6F88"/>
          <w:sz w:val="15"/>
        </w:rPr>
        <w:t>19 / RISK</w:t>
      </w:r>
    </w:p>
    <w:p w:rsidR="001039AB" w:rsidRDefault="001152A6">
      <w:pPr>
        <w:pStyle w:val="Balk1"/>
      </w:pPr>
      <w:r>
        <w:t>Risk ve Kontrol Çerçevesi</w:t>
      </w:r>
    </w:p>
    <w:p w:rsidR="001039AB" w:rsidRDefault="001152A6">
      <w:pPr>
        <w:rPr>
          <w:rFonts w:hint="eastAsia"/>
        </w:rPr>
      </w:pPr>
      <w:r>
        <w:t>Risk yönetimi hedeflerden ayrı bir liste değildir. Her hedefin gerçekleşmesini engelleyebilecek olaylar, erken uyarı göstergeleri ve kontrol faaliyetleriyle birlikte izlenir.</w:t>
      </w:r>
    </w:p>
    <w:p w:rsidR="001039AB" w:rsidRDefault="001152A6">
      <w:pPr>
        <w:spacing w:before="100" w:after="20"/>
        <w:rPr>
          <w:rFonts w:hint="eastAsia"/>
        </w:rPr>
      </w:pPr>
      <w:r>
        <w:rPr>
          <w:b/>
          <w:color w:val="5C6F88"/>
          <w:sz w:val="15"/>
        </w:rPr>
        <w:t>19 / STRATEJIK RISKLER</w:t>
      </w:r>
    </w:p>
    <w:p w:rsidR="001039AB" w:rsidRDefault="001152A6">
      <w:pPr>
        <w:pStyle w:val="Balk1"/>
      </w:pPr>
      <w:r>
        <w:t>Ana Risk Haritası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2493"/>
        <w:gridCol w:w="2493"/>
        <w:gridCol w:w="2493"/>
        <w:gridCol w:w="2493"/>
      </w:tblGrid>
      <w:tr w:rsidR="001039AB">
        <w:trPr>
          <w:jc w:val="center"/>
        </w:trPr>
        <w:tc>
          <w:tcPr>
            <w:tcW w:w="2493"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Risk</w:t>
            </w:r>
          </w:p>
        </w:tc>
        <w:tc>
          <w:tcPr>
            <w:tcW w:w="2493"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Olası etki</w:t>
            </w:r>
          </w:p>
        </w:tc>
        <w:tc>
          <w:tcPr>
            <w:tcW w:w="2493"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Erken uyarı</w:t>
            </w:r>
          </w:p>
        </w:tc>
        <w:tc>
          <w:tcPr>
            <w:tcW w:w="2493"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Kontrol</w:t>
            </w:r>
          </w:p>
        </w:tc>
      </w:tr>
      <w:tr w:rsidR="001039AB">
        <w:trPr>
          <w:jc w:val="center"/>
        </w:trPr>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Kaynak kısıtı</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Altyapı ve proje gecikmesi</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Bakım/ekipman taleplerinin artması</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Önceliklendirme + ortak kullanım + dış fon</w:t>
            </w:r>
          </w:p>
        </w:tc>
      </w:tr>
      <w:tr w:rsidR="001039AB">
        <w:trPr>
          <w:jc w:val="center"/>
        </w:trPr>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Veri yetersizliği</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Hedef ölçülememesi</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Eksik/gecikmiş gösterge</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Gösterge sözlüğü + veri sorumlusu</w:t>
            </w:r>
          </w:p>
        </w:tc>
      </w:tr>
      <w:tr w:rsidR="001039AB">
        <w:trPr>
          <w:jc w:val="center"/>
        </w:trPr>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AI hızının politika hızını aşması</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Etik/ölçme belirsizliği</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Derslerde tutarsız uygulama</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Yıllık AI politika güncellemesi</w:t>
            </w:r>
          </w:p>
        </w:tc>
      </w:tr>
      <w:tr w:rsidR="001039AB">
        <w:trPr>
          <w:jc w:val="center"/>
        </w:trPr>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Etkinlik yoğunluğu</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Kaynak tüketimi, düşük etki</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Çok faaliyet/düşük sonuç</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Etki ölçümü ve öncelik filtresi</w:t>
            </w:r>
          </w:p>
        </w:tc>
      </w:tr>
      <w:tr w:rsidR="001039AB">
        <w:trPr>
          <w:jc w:val="center"/>
        </w:trPr>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Uluslararası ortaklıkların pasifliği</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Düşük görünürlük</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Çıktısız protokol</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4"/>
              </w:rPr>
              <w:t>Aktif ortaklık tanımı</w:t>
            </w:r>
          </w:p>
        </w:tc>
      </w:tr>
      <w:tr w:rsidR="001039AB">
        <w:trPr>
          <w:jc w:val="center"/>
        </w:trPr>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lastRenderedPageBreak/>
              <w:t>Alan yoğunluğu</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Ders/sınav aksaması</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Yüksek değişiklik/çakışma</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Kullanım verisi ve merkezi koordinasyon</w:t>
            </w:r>
          </w:p>
        </w:tc>
      </w:tr>
    </w:tbl>
    <w:p w:rsidR="001039AB" w:rsidRDefault="001152A6">
      <w:pPr>
        <w:spacing w:before="100" w:after="20"/>
        <w:rPr>
          <w:rFonts w:hint="eastAsia"/>
        </w:rPr>
      </w:pPr>
      <w:r>
        <w:rPr>
          <w:b/>
          <w:color w:val="5C6F88"/>
          <w:sz w:val="15"/>
        </w:rPr>
        <w:t>19 / RISK MATRISI</w:t>
      </w:r>
    </w:p>
    <w:p w:rsidR="001039AB" w:rsidRDefault="001152A6">
      <w:pPr>
        <w:pStyle w:val="Balk1"/>
      </w:pPr>
      <w:r>
        <w:t>Risk Değerlendirme Yöntemi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2493"/>
        <w:gridCol w:w="2493"/>
        <w:gridCol w:w="2493"/>
        <w:gridCol w:w="2493"/>
      </w:tblGrid>
      <w:tr w:rsidR="001039AB">
        <w:trPr>
          <w:jc w:val="center"/>
        </w:trPr>
        <w:tc>
          <w:tcPr>
            <w:tcW w:w="2493"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Puan</w:t>
            </w:r>
          </w:p>
        </w:tc>
        <w:tc>
          <w:tcPr>
            <w:tcW w:w="2493"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Olasılık</w:t>
            </w:r>
          </w:p>
        </w:tc>
        <w:tc>
          <w:tcPr>
            <w:tcW w:w="2493"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Etki</w:t>
            </w:r>
          </w:p>
        </w:tc>
        <w:tc>
          <w:tcPr>
            <w:tcW w:w="2493"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Yaklaşım</w:t>
            </w:r>
          </w:p>
        </w:tc>
      </w:tr>
      <w:tr w:rsidR="001039AB">
        <w:trPr>
          <w:jc w:val="center"/>
        </w:trPr>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1</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Düşük</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Sınırlı</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İzle</w:t>
            </w:r>
          </w:p>
        </w:tc>
      </w:tr>
      <w:tr w:rsidR="001039AB">
        <w:trPr>
          <w:jc w:val="center"/>
        </w:trPr>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2</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Orta-düşük</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Yönetilebilir</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Kontrol et</w:t>
            </w:r>
          </w:p>
        </w:tc>
      </w:tr>
      <w:tr w:rsidR="001039AB">
        <w:trPr>
          <w:jc w:val="center"/>
        </w:trPr>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3</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Orta</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Belirgin</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Eylem planı</w:t>
            </w:r>
          </w:p>
        </w:tc>
      </w:tr>
      <w:tr w:rsidR="001039AB">
        <w:trPr>
          <w:jc w:val="center"/>
        </w:trPr>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4</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Yüksek</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Ciddi</w:t>
            </w:r>
          </w:p>
        </w:tc>
        <w:tc>
          <w:tcPr>
            <w:tcW w:w="2493"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Öncelikli kontrol</w:t>
            </w:r>
          </w:p>
        </w:tc>
      </w:tr>
      <w:tr w:rsidR="001039AB">
        <w:trPr>
          <w:jc w:val="center"/>
        </w:trPr>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5</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Çok yüksek</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Kritik</w:t>
            </w:r>
          </w:p>
        </w:tc>
        <w:tc>
          <w:tcPr>
            <w:tcW w:w="2493" w:type="dxa"/>
            <w:tcMar>
              <w:top w:w="65" w:type="dxa"/>
              <w:left w:w="75" w:type="dxa"/>
              <w:bottom w:w="65" w:type="dxa"/>
              <w:right w:w="75" w:type="dxa"/>
            </w:tcMar>
          </w:tcPr>
          <w:p w:rsidR="001039AB" w:rsidRDefault="001152A6">
            <w:pPr>
              <w:spacing w:after="0" w:line="240" w:lineRule="auto"/>
              <w:rPr>
                <w:rFonts w:hint="eastAsia"/>
              </w:rPr>
            </w:pPr>
            <w:r>
              <w:rPr>
                <w:sz w:val="15"/>
              </w:rPr>
              <w:t>Dekanlık düzeyi müdahale</w:t>
            </w:r>
          </w:p>
        </w:tc>
      </w:tr>
    </w:tbl>
    <w:p w:rsidR="001039AB" w:rsidRDefault="001152A6">
      <w:pPr>
        <w:spacing w:before="100" w:after="20"/>
        <w:rPr>
          <w:rFonts w:hint="eastAsia"/>
        </w:rPr>
      </w:pPr>
      <w:r>
        <w:rPr>
          <w:b/>
          <w:color w:val="5C6F88"/>
          <w:sz w:val="15"/>
        </w:rPr>
        <w:t>19 / FIRSAT</w:t>
      </w:r>
    </w:p>
    <w:p w:rsidR="001039AB" w:rsidRDefault="001152A6">
      <w:pPr>
        <w:pStyle w:val="Balk1"/>
      </w:pPr>
      <w:r>
        <w:t>Fırsat Yönetimi</w:t>
      </w:r>
    </w:p>
    <w:p w:rsidR="001039AB" w:rsidRDefault="001152A6">
      <w:pPr>
        <w:rPr>
          <w:rFonts w:hint="eastAsia"/>
        </w:rPr>
      </w:pPr>
      <w:r>
        <w:t>Risk kadar fırsat da kaydedilecektir. Yeni fon çağrısı, beklenmedik uluslararası ortaklık, kent ölçekli kültür projesi, yeni teknoloji altyapısı veya mezun ağı gibi fırsatlar; etki, kaynak ihtiyacı ve stratejik uyum bakımından değerlendirilerek yıllık önceliklere alınabilir.</w:t>
      </w:r>
    </w:p>
    <w:p w:rsidR="001039AB" w:rsidRDefault="001152A6">
      <w:pPr>
        <w:spacing w:before="100" w:after="20"/>
        <w:rPr>
          <w:rFonts w:hint="eastAsia"/>
        </w:rPr>
      </w:pPr>
      <w:r>
        <w:rPr>
          <w:b/>
          <w:color w:val="5C6F88"/>
          <w:sz w:val="15"/>
        </w:rPr>
        <w:t>20 / KAYNAK</w:t>
      </w:r>
    </w:p>
    <w:p w:rsidR="001039AB" w:rsidRDefault="001152A6">
      <w:pPr>
        <w:pStyle w:val="Balk1"/>
      </w:pPr>
      <w:r>
        <w:t>Kaynak ve Maliyetlendirme Yaklaşımı</w:t>
      </w:r>
    </w:p>
    <w:p w:rsidR="001039AB" w:rsidRDefault="001152A6">
      <w:pPr>
        <w:rPr>
          <w:rFonts w:hint="eastAsia"/>
        </w:rPr>
      </w:pPr>
      <w:r>
        <w:t>Bu taslakta fakülteye ait kesin bütçe başlangıç değerleri kullanıcı tarafından sağlanmadığı için parasal hedef uydurulmamıştır. Maliyetlendirme, yıllık bütçe ve yatırım verileriyle doldurulacak kaynak matrisi üzerinden yürütülecektir.</w:t>
      </w:r>
    </w:p>
    <w:p w:rsidR="001039AB" w:rsidRDefault="001152A6">
      <w:pPr>
        <w:spacing w:before="100" w:after="20"/>
        <w:rPr>
          <w:rFonts w:hint="eastAsia"/>
        </w:rPr>
      </w:pPr>
      <w:r>
        <w:rPr>
          <w:b/>
          <w:color w:val="5C6F88"/>
          <w:sz w:val="15"/>
        </w:rPr>
        <w:t>20 / KAYNAK MATRISI</w:t>
      </w:r>
    </w:p>
    <w:p w:rsidR="001039AB" w:rsidRDefault="001152A6">
      <w:pPr>
        <w:pStyle w:val="Balk1"/>
      </w:pPr>
      <w:r>
        <w:t>Her Stratejik Faaliyet İçin Kaynak Soruları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Kaynak</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Soru</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İnsan</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Kim yürütecek, iş yükü uygun mu?</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Mekân</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Hangi eğitim/üretim alanı gerekli?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Ekipman</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Mevcut mu, ortak kullanılabilir mi?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Bütçe</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Yatırım mı işletme mi?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Dış kaynak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BAP, TÜBİTAK, AB, belediye, sektör, sponsorluk?</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Zaman</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Akademik takvimde gerçekçi mi?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Sürdürülebilirlik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Bakım, lisans, sarf ve yenileme maliyeti ne?</w:t>
            </w:r>
          </w:p>
        </w:tc>
      </w:tr>
    </w:tbl>
    <w:p w:rsidR="001039AB" w:rsidRDefault="001152A6">
      <w:pPr>
        <w:spacing w:before="100" w:after="20"/>
        <w:rPr>
          <w:rFonts w:hint="eastAsia"/>
        </w:rPr>
      </w:pPr>
      <w:r>
        <w:rPr>
          <w:b/>
          <w:color w:val="5C6F88"/>
          <w:sz w:val="15"/>
        </w:rPr>
        <w:t>20 / ÖNCELIKLENDIRME</w:t>
      </w:r>
    </w:p>
    <w:p w:rsidR="001039AB" w:rsidRDefault="001152A6">
      <w:pPr>
        <w:pStyle w:val="Balk1"/>
      </w:pPr>
      <w:r>
        <w:t>Yatırım Öncelik Puanı</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Ölçüt</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Ağırlık önerisi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Öğrenci/eğitim etkisi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%30</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Güvenlik/erişilebilirlik</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%20</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Stratejik hedefe katkı</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%20</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Kullanım yoğunluğu</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%15</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Araştırma/üretim etkisi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%10</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Sürdürülebilirlik</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%5</w:t>
            </w:r>
          </w:p>
        </w:tc>
      </w:tr>
    </w:tbl>
    <w:p w:rsidR="001039AB" w:rsidRDefault="001152A6">
      <w:pPr>
        <w:spacing w:before="100" w:after="20"/>
        <w:rPr>
          <w:rFonts w:hint="eastAsia"/>
        </w:rPr>
      </w:pPr>
      <w:r>
        <w:rPr>
          <w:b/>
          <w:color w:val="5C6F88"/>
          <w:sz w:val="15"/>
        </w:rPr>
        <w:t>21 / İZLEME</w:t>
      </w:r>
    </w:p>
    <w:p w:rsidR="001039AB" w:rsidRDefault="001152A6">
      <w:pPr>
        <w:pStyle w:val="Balk1"/>
      </w:pPr>
      <w:r>
        <w:lastRenderedPageBreak/>
        <w:t>İzleme, Değerlendirme ve PUKÖ</w:t>
      </w:r>
    </w:p>
    <w:p w:rsidR="001039AB" w:rsidRDefault="001152A6">
      <w:pPr>
        <w:rPr>
          <w:rFonts w:hint="eastAsia"/>
        </w:rPr>
      </w:pPr>
      <w:r>
        <w:t>GAÜN stratejik planlama yaklaşımı performans göstergelerinin izlenmesini kalite kültürünün temel unsuru olarak görür. GSF’de izleme, veri toplama faaliyeti değil; karar üretme sürecidir.</w:t>
      </w:r>
    </w:p>
    <w:p w:rsidR="001039AB" w:rsidRDefault="001152A6">
      <w:pPr>
        <w:spacing w:before="100" w:after="20"/>
        <w:rPr>
          <w:rFonts w:hint="eastAsia"/>
        </w:rPr>
      </w:pPr>
      <w:r>
        <w:rPr>
          <w:b/>
          <w:color w:val="5C6F88"/>
          <w:sz w:val="15"/>
        </w:rPr>
        <w:t>21 / TAKVIM</w:t>
      </w:r>
    </w:p>
    <w:p w:rsidR="001039AB" w:rsidRDefault="001152A6">
      <w:pPr>
        <w:pStyle w:val="Balk1"/>
      </w:pPr>
      <w:r>
        <w:t>Yıllık Stratejik ve Kalite Takvimi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Ay</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Temel iş</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Eylül</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Yıllık hedefler, önceki PUKÖ kapanışları, program/ders başlangıç kontrolleri.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Ekim</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Ders bilgi paketleri, AKTS, danışmanlık, eğitim alanları başlangıç izleme.</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Kasım</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Ara izleme, öğrenci/personel geri bildirimi, risk güncelleme.</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Aralık</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Paydaş görüşleri, öğretim süreci ara değerlendirme.</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Ocak</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Güz sonuçları, ders/program geri bildirim ve ölçme raporları.</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Şubat</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Bahar iyileştirmeleri, program/ders revizyon takibi.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Mart</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Altyapı, araştırma-sanatsal faaliyet ve toplumsal katkı izleme.</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Nisan</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Öğrenci/paydaş geri bildirimleri, akreditasyon/iç tetkik.</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Mayıs</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Sanatsal faaliyet sonuçları, mezuniyet/portfolyo.</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Haziran</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Bölüm/program yıllık değerlendirme, bahar raporları.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Temmuz</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Fakülte yıllık kalite ve stratejik değerlendirme.</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Ağustos</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Yeni yıl öncelikleri, kaynak ve eğitim alanı planlama.</w:t>
            </w:r>
          </w:p>
        </w:tc>
      </w:tr>
    </w:tbl>
    <w:p w:rsidR="001039AB" w:rsidRDefault="001152A6">
      <w:pPr>
        <w:spacing w:before="100" w:after="20"/>
        <w:rPr>
          <w:rFonts w:hint="eastAsia"/>
        </w:rPr>
      </w:pPr>
      <w:r>
        <w:rPr>
          <w:b/>
          <w:color w:val="5C6F88"/>
          <w:sz w:val="15"/>
        </w:rPr>
        <w:t>21 / PUKÖ</w:t>
      </w:r>
    </w:p>
    <w:p w:rsidR="001039AB" w:rsidRDefault="001152A6">
      <w:pPr>
        <w:pStyle w:val="Balk1"/>
      </w:pPr>
      <w:r>
        <w:t>PUKÖ Döngüsü</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3324"/>
        <w:gridCol w:w="3324"/>
        <w:gridCol w:w="3324"/>
      </w:tblGrid>
      <w:tr w:rsidR="001039AB">
        <w:trPr>
          <w:jc w:val="center"/>
        </w:trPr>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Aşama</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Zorunlu soru</w:t>
            </w:r>
          </w:p>
        </w:tc>
        <w:tc>
          <w:tcPr>
            <w:tcW w:w="332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5"/>
              </w:rPr>
              <w:t>Kanıt</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PLANLA</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Amaç, hedef, sorumlu, termin ve gösterge ne?</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Plan/karar/iş takvimi</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UYGULA</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Ne yapıldı?</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Tutanak, form, görsel, kayıt</w:t>
            </w:r>
          </w:p>
        </w:tc>
      </w:tr>
      <w:tr w:rsidR="001039AB">
        <w:trPr>
          <w:jc w:val="center"/>
        </w:trPr>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KONTROL ET</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Sonuç ne oldu?</w:t>
            </w:r>
          </w:p>
        </w:tc>
        <w:tc>
          <w:tcPr>
            <w:tcW w:w="3324" w:type="dxa"/>
            <w:tcMar>
              <w:top w:w="65" w:type="dxa"/>
              <w:left w:w="75" w:type="dxa"/>
              <w:bottom w:w="65" w:type="dxa"/>
              <w:right w:w="75" w:type="dxa"/>
            </w:tcMar>
          </w:tcPr>
          <w:p w:rsidR="001039AB" w:rsidRDefault="001152A6">
            <w:pPr>
              <w:spacing w:after="0" w:line="240" w:lineRule="auto"/>
              <w:rPr>
                <w:rFonts w:hint="eastAsia"/>
              </w:rPr>
            </w:pPr>
            <w:r>
              <w:rPr>
                <w:sz w:val="15"/>
              </w:rPr>
              <w:t>Analiz, anket, karşılaştırma</w:t>
            </w:r>
          </w:p>
        </w:tc>
      </w:tr>
      <w:tr w:rsidR="001039AB">
        <w:trPr>
          <w:jc w:val="center"/>
        </w:trPr>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ÖNLEM AL</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Ne standartlaşacak/ne değişecek?</w:t>
            </w:r>
          </w:p>
        </w:tc>
        <w:tc>
          <w:tcPr>
            <w:tcW w:w="332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5"/>
              </w:rPr>
              <w:t>İyileştirme kararı ve yeni plan</w:t>
            </w:r>
          </w:p>
        </w:tc>
      </w:tr>
    </w:tbl>
    <w:p w:rsidR="001039AB" w:rsidRDefault="001152A6">
      <w:pPr>
        <w:spacing w:before="100" w:after="20"/>
        <w:rPr>
          <w:rFonts w:hint="eastAsia"/>
        </w:rPr>
      </w:pPr>
      <w:r>
        <w:rPr>
          <w:b/>
          <w:color w:val="5C6F88"/>
          <w:sz w:val="15"/>
        </w:rPr>
        <w:t>21 / KANIT</w:t>
      </w:r>
    </w:p>
    <w:p w:rsidR="001039AB" w:rsidRDefault="001152A6">
      <w:pPr>
        <w:pStyle w:val="Balk1"/>
      </w:pPr>
      <w:r>
        <w:t>Kanıt Kalitesi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Düzey</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6"/>
              </w:rPr>
              <w:t>Tanım</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1</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Faaliyetin yapıldığına ilişkin zayıf/tekil kanıt.</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2</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Düzenli uygulama kanıtı.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3</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Uygulama + ölçüm/geri bildirim.</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4</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6"/>
              </w:rPr>
              <w:t>Uygulama + sonuç analizi + iyileştirme kararı.</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5</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6"/>
              </w:rPr>
              <w:t>İyileştirme sonrası yeniden ölçüm ve etki kanıtı.</w:t>
            </w:r>
          </w:p>
        </w:tc>
      </w:tr>
    </w:tbl>
    <w:p w:rsidR="001039AB" w:rsidRDefault="001152A6">
      <w:pPr>
        <w:spacing w:before="100" w:after="20"/>
        <w:rPr>
          <w:rFonts w:hint="eastAsia"/>
        </w:rPr>
      </w:pPr>
      <w:r>
        <w:rPr>
          <w:b/>
          <w:color w:val="5C6F88"/>
          <w:sz w:val="15"/>
        </w:rPr>
        <w:t>21 / RAPORLAMA</w:t>
      </w:r>
    </w:p>
    <w:p w:rsidR="001039AB" w:rsidRDefault="001152A6">
      <w:pPr>
        <w:pStyle w:val="Balk1"/>
      </w:pPr>
      <w:r>
        <w:t>Her Raporun Asgari Soruları</w:t>
      </w:r>
    </w:p>
    <w:p w:rsidR="001039AB" w:rsidRDefault="001152A6">
      <w:pPr>
        <w:pStyle w:val="ListeMaddemi"/>
        <w:spacing w:after="60"/>
        <w:rPr>
          <w:rFonts w:hint="eastAsia"/>
        </w:rPr>
      </w:pPr>
      <w:r>
        <w:t>Ne ölçüldü?</w:t>
      </w:r>
    </w:p>
    <w:p w:rsidR="001039AB" w:rsidRDefault="001152A6">
      <w:pPr>
        <w:pStyle w:val="ListeMaddemi"/>
        <w:spacing w:after="60"/>
        <w:rPr>
          <w:rFonts w:hint="eastAsia"/>
        </w:rPr>
      </w:pPr>
      <w:r>
        <w:t>Hangi veri kullanıldı?</w:t>
      </w:r>
    </w:p>
    <w:p w:rsidR="001039AB" w:rsidRDefault="001152A6">
      <w:pPr>
        <w:pStyle w:val="ListeMaddemi"/>
        <w:spacing w:after="60"/>
        <w:rPr>
          <w:rFonts w:hint="eastAsia"/>
        </w:rPr>
      </w:pPr>
      <w:r>
        <w:t>Sonuç ne?</w:t>
      </w:r>
    </w:p>
    <w:p w:rsidR="001039AB" w:rsidRDefault="001152A6">
      <w:pPr>
        <w:pStyle w:val="ListeMaddemi"/>
        <w:spacing w:after="60"/>
        <w:rPr>
          <w:rFonts w:hint="eastAsia"/>
        </w:rPr>
      </w:pPr>
      <w:r>
        <w:t>Güçlü alan ne?</w:t>
      </w:r>
    </w:p>
    <w:p w:rsidR="001039AB" w:rsidRDefault="001152A6">
      <w:pPr>
        <w:pStyle w:val="ListeMaddemi"/>
        <w:spacing w:after="60"/>
        <w:rPr>
          <w:rFonts w:hint="eastAsia"/>
        </w:rPr>
      </w:pPr>
      <w:r>
        <w:t>Gelişmeye açık alan ne?</w:t>
      </w:r>
    </w:p>
    <w:p w:rsidR="001039AB" w:rsidRDefault="001152A6">
      <w:pPr>
        <w:pStyle w:val="ListeMaddemi"/>
        <w:spacing w:after="60"/>
        <w:rPr>
          <w:rFonts w:hint="eastAsia"/>
        </w:rPr>
      </w:pPr>
      <w:r>
        <w:t>Hangi karar alındı?</w:t>
      </w:r>
    </w:p>
    <w:p w:rsidR="001039AB" w:rsidRDefault="001152A6">
      <w:pPr>
        <w:pStyle w:val="ListeMaddemi"/>
        <w:spacing w:after="60"/>
        <w:rPr>
          <w:rFonts w:hint="eastAsia"/>
        </w:rPr>
      </w:pPr>
      <w:r>
        <w:t>Kim sorumlu?</w:t>
      </w:r>
    </w:p>
    <w:p w:rsidR="001039AB" w:rsidRDefault="001152A6">
      <w:pPr>
        <w:pStyle w:val="ListeMaddemi"/>
        <w:spacing w:after="60"/>
        <w:rPr>
          <w:rFonts w:hint="eastAsia"/>
        </w:rPr>
      </w:pPr>
      <w:r>
        <w:lastRenderedPageBreak/>
        <w:t>Ne zaman tamamlanacak?</w:t>
      </w:r>
    </w:p>
    <w:p w:rsidR="001039AB" w:rsidRDefault="001152A6">
      <w:pPr>
        <w:pStyle w:val="ListeMaddemi"/>
        <w:spacing w:after="60"/>
        <w:rPr>
          <w:rFonts w:hint="eastAsia"/>
        </w:rPr>
      </w:pPr>
      <w:r>
        <w:t>Sonuç nasıl yeniden ölçülecek?</w:t>
      </w:r>
    </w:p>
    <w:p w:rsidR="001039AB" w:rsidRDefault="001152A6">
      <w:pPr>
        <w:spacing w:before="100" w:after="20"/>
        <w:rPr>
          <w:rFonts w:hint="eastAsia"/>
        </w:rPr>
      </w:pPr>
      <w:r>
        <w:rPr>
          <w:b/>
          <w:color w:val="5C6F88"/>
          <w:sz w:val="15"/>
        </w:rPr>
        <w:t>22 / YOL HARITASI</w:t>
      </w:r>
    </w:p>
    <w:p w:rsidR="001039AB" w:rsidRDefault="001152A6">
      <w:pPr>
        <w:pStyle w:val="Balk1"/>
      </w:pPr>
      <w:r>
        <w:t>2026-2029 Uygulama Yol Haritası</w:t>
      </w:r>
    </w:p>
    <w:p w:rsidR="001039AB" w:rsidRDefault="001152A6">
      <w:pPr>
        <w:spacing w:before="100" w:after="20"/>
        <w:rPr>
          <w:rFonts w:hint="eastAsia"/>
        </w:rPr>
      </w:pPr>
      <w:r>
        <w:rPr>
          <w:b/>
          <w:color w:val="5C6F88"/>
          <w:sz w:val="15"/>
        </w:rPr>
        <w:t>22 / 2026</w:t>
      </w:r>
    </w:p>
    <w:p w:rsidR="001039AB" w:rsidRDefault="001152A6">
      <w:pPr>
        <w:pStyle w:val="Balk1"/>
      </w:pPr>
      <w:r>
        <w:t>2026 • Temel Kurulum ve Baz Çizgi</w:t>
      </w:r>
    </w:p>
    <w:p w:rsidR="001039AB" w:rsidRDefault="001152A6">
      <w:pPr>
        <w:pStyle w:val="ListeMaddemi"/>
        <w:spacing w:after="60"/>
        <w:rPr>
          <w:rFonts w:hint="eastAsia"/>
        </w:rPr>
      </w:pPr>
      <w:r>
        <w:t>Fakülte stratejik gösterge sözlüğünün kesinleştirilmesi.</w:t>
      </w:r>
    </w:p>
    <w:p w:rsidR="001039AB" w:rsidRDefault="001152A6">
      <w:pPr>
        <w:pStyle w:val="ListeMaddemi"/>
        <w:spacing w:after="60"/>
        <w:rPr>
          <w:rFonts w:hint="eastAsia"/>
        </w:rPr>
      </w:pPr>
      <w:r>
        <w:t>Program öz değerlendirme sisteminin başlatılması.</w:t>
      </w:r>
    </w:p>
    <w:p w:rsidR="001039AB" w:rsidRDefault="001152A6">
      <w:pPr>
        <w:pStyle w:val="ListeMaddemi"/>
        <w:spacing w:after="60"/>
        <w:rPr>
          <w:rFonts w:hint="eastAsia"/>
        </w:rPr>
      </w:pPr>
      <w:r>
        <w:t>Eğitim alanları envanter ve kullanım verisinin kurulması.</w:t>
      </w:r>
    </w:p>
    <w:p w:rsidR="001039AB" w:rsidRDefault="001152A6">
      <w:pPr>
        <w:pStyle w:val="ListeMaddemi"/>
        <w:spacing w:after="60"/>
        <w:rPr>
          <w:rFonts w:hint="eastAsia"/>
        </w:rPr>
      </w:pPr>
      <w:r>
        <w:t>Öğrenci/mezun/paydaş standart ölçüm araçlarının devreye alınması.</w:t>
      </w:r>
    </w:p>
    <w:p w:rsidR="001039AB" w:rsidRDefault="001152A6">
      <w:pPr>
        <w:pStyle w:val="ListeMaddemi"/>
        <w:spacing w:after="60"/>
        <w:rPr>
          <w:rFonts w:hint="eastAsia"/>
        </w:rPr>
      </w:pPr>
      <w:r>
        <w:t>AI okuryazarlığı ve ders kullanım çerçevesinin uygulanması.</w:t>
      </w:r>
    </w:p>
    <w:p w:rsidR="001039AB" w:rsidRDefault="001152A6">
      <w:pPr>
        <w:pStyle w:val="ListeMaddemi"/>
        <w:spacing w:after="60"/>
        <w:rPr>
          <w:rFonts w:hint="eastAsia"/>
        </w:rPr>
      </w:pPr>
      <w:r>
        <w:t>Sanatsal araştırma/üretim envanterinin kurulması.</w:t>
      </w:r>
    </w:p>
    <w:p w:rsidR="001039AB" w:rsidRDefault="001152A6">
      <w:pPr>
        <w:pStyle w:val="ListeMaddemi"/>
        <w:spacing w:after="60"/>
        <w:rPr>
          <w:rFonts w:hint="eastAsia"/>
        </w:rPr>
      </w:pPr>
      <w:r>
        <w:t>Açık PUKÖ döngülerinin tek matriste izlenmesi.</w:t>
      </w:r>
    </w:p>
    <w:p w:rsidR="001039AB" w:rsidRDefault="001152A6">
      <w:pPr>
        <w:spacing w:before="100" w:after="20"/>
        <w:rPr>
          <w:rFonts w:hint="eastAsia"/>
        </w:rPr>
      </w:pPr>
      <w:r>
        <w:rPr>
          <w:b/>
          <w:color w:val="5C6F88"/>
          <w:sz w:val="15"/>
        </w:rPr>
        <w:t>22 / 2027</w:t>
      </w:r>
    </w:p>
    <w:p w:rsidR="001039AB" w:rsidRDefault="001152A6">
      <w:pPr>
        <w:pStyle w:val="Balk1"/>
      </w:pPr>
      <w:r>
        <w:t>2027 • Entegrasyon</w:t>
      </w:r>
    </w:p>
    <w:p w:rsidR="001039AB" w:rsidRDefault="001152A6">
      <w:pPr>
        <w:pStyle w:val="ListeMaddemi"/>
        <w:spacing w:after="60"/>
        <w:rPr>
          <w:rFonts w:hint="eastAsia"/>
        </w:rPr>
      </w:pPr>
      <w:r>
        <w:t>Program, ders, ölçme ve öğrenci geri bildirim verilerinin birleştirilmesi.</w:t>
      </w:r>
    </w:p>
    <w:p w:rsidR="001039AB" w:rsidRDefault="001152A6">
      <w:pPr>
        <w:pStyle w:val="ListeMaddemi"/>
        <w:spacing w:after="60"/>
        <w:rPr>
          <w:rFonts w:hint="eastAsia"/>
        </w:rPr>
      </w:pPr>
      <w:r>
        <w:t>Ortak üretim/yaratıcı teknoloji altyapısının güçlendirilmesi.</w:t>
      </w:r>
    </w:p>
    <w:p w:rsidR="001039AB" w:rsidRDefault="001152A6">
      <w:pPr>
        <w:pStyle w:val="ListeMaddemi"/>
        <w:spacing w:after="60"/>
        <w:rPr>
          <w:rFonts w:hint="eastAsia"/>
        </w:rPr>
      </w:pPr>
      <w:r>
        <w:t>Profesyonel portfolyo ve yaratıcı mesleki yaşam modüllerinin standardizasyonu.</w:t>
      </w:r>
    </w:p>
    <w:p w:rsidR="001039AB" w:rsidRDefault="001152A6">
      <w:pPr>
        <w:pStyle w:val="ListeMaddemi"/>
        <w:spacing w:after="60"/>
        <w:rPr>
          <w:rFonts w:hint="eastAsia"/>
        </w:rPr>
      </w:pPr>
      <w:r>
        <w:t>Aktif dış paydaş tanımıyla işbirliği portföyünün temizlenmesi.</w:t>
      </w:r>
    </w:p>
    <w:p w:rsidR="001039AB" w:rsidRDefault="001152A6">
      <w:pPr>
        <w:pStyle w:val="ListeMaddemi"/>
        <w:spacing w:after="60"/>
        <w:rPr>
          <w:rFonts w:hint="eastAsia"/>
        </w:rPr>
      </w:pPr>
      <w:r>
        <w:t>İlk tam mezun 6/18 ay karşılaştırmaları.</w:t>
      </w:r>
    </w:p>
    <w:p w:rsidR="001039AB" w:rsidRDefault="001152A6">
      <w:pPr>
        <w:spacing w:before="100" w:after="20"/>
        <w:rPr>
          <w:rFonts w:hint="eastAsia"/>
        </w:rPr>
      </w:pPr>
      <w:r>
        <w:rPr>
          <w:b/>
          <w:color w:val="5C6F88"/>
          <w:sz w:val="15"/>
        </w:rPr>
        <w:t>22 / 2028</w:t>
      </w:r>
    </w:p>
    <w:p w:rsidR="001039AB" w:rsidRDefault="001152A6">
      <w:pPr>
        <w:pStyle w:val="Balk1"/>
      </w:pPr>
      <w:r>
        <w:t>2028 • Açılma ve Etki</w:t>
      </w:r>
    </w:p>
    <w:p w:rsidR="001039AB" w:rsidRDefault="001152A6">
      <w:pPr>
        <w:pStyle w:val="ListeMaddemi"/>
        <w:spacing w:after="60"/>
        <w:rPr>
          <w:rFonts w:hint="eastAsia"/>
        </w:rPr>
      </w:pPr>
      <w:r>
        <w:t>Uluslararası ortak stüdyo/proje sayısının büyütülmesi.</w:t>
      </w:r>
    </w:p>
    <w:p w:rsidR="001039AB" w:rsidRDefault="001152A6">
      <w:pPr>
        <w:pStyle w:val="ListeMaddemi"/>
        <w:spacing w:after="60"/>
        <w:rPr>
          <w:rFonts w:hint="eastAsia"/>
        </w:rPr>
      </w:pPr>
      <w:r>
        <w:t>Gaziantep odaklı büyük ölçekli araştırma ve kamusal üretim projeleri.</w:t>
      </w:r>
    </w:p>
    <w:p w:rsidR="001039AB" w:rsidRDefault="001152A6">
      <w:pPr>
        <w:pStyle w:val="ListeMaddemi"/>
        <w:spacing w:after="60"/>
        <w:rPr>
          <w:rFonts w:hint="eastAsia"/>
        </w:rPr>
      </w:pPr>
      <w:r>
        <w:t>Dış fon ve disiplinlerarası araştırma kapasitesinin artırılması.</w:t>
      </w:r>
    </w:p>
    <w:p w:rsidR="001039AB" w:rsidRDefault="001152A6">
      <w:pPr>
        <w:pStyle w:val="ListeMaddemi"/>
        <w:spacing w:after="60"/>
        <w:rPr>
          <w:rFonts w:hint="eastAsia"/>
        </w:rPr>
      </w:pPr>
      <w:r>
        <w:t>Program benchmarking ve akreditasyon hazırlıklarının derinleştirilmesi.</w:t>
      </w:r>
    </w:p>
    <w:p w:rsidR="001039AB" w:rsidRDefault="001152A6">
      <w:pPr>
        <w:pStyle w:val="ListeMaddemi"/>
        <w:spacing w:after="60"/>
        <w:rPr>
          <w:rFonts w:hint="eastAsia"/>
        </w:rPr>
      </w:pPr>
      <w:r>
        <w:t>Sürdürülebilir atölye uygulamalarının bütün bölümlere yayılması.</w:t>
      </w:r>
    </w:p>
    <w:p w:rsidR="001039AB" w:rsidRDefault="001152A6">
      <w:pPr>
        <w:spacing w:before="100" w:after="20"/>
        <w:rPr>
          <w:rFonts w:hint="eastAsia"/>
        </w:rPr>
      </w:pPr>
      <w:r>
        <w:rPr>
          <w:b/>
          <w:color w:val="5C6F88"/>
          <w:sz w:val="15"/>
        </w:rPr>
        <w:t>22 / 2029</w:t>
      </w:r>
    </w:p>
    <w:p w:rsidR="001039AB" w:rsidRDefault="001152A6">
      <w:pPr>
        <w:pStyle w:val="Balk1"/>
      </w:pPr>
      <w:r>
        <w:t>2029 • Sonuç ve Yeni Döneme Geçiş</w:t>
      </w:r>
    </w:p>
    <w:p w:rsidR="001039AB" w:rsidRDefault="001152A6">
      <w:pPr>
        <w:pStyle w:val="ListeMaddemi"/>
        <w:spacing w:after="60"/>
        <w:rPr>
          <w:rFonts w:hint="eastAsia"/>
        </w:rPr>
      </w:pPr>
      <w:r>
        <w:t>Dört yıllık gösterge eğilim analizi.</w:t>
      </w:r>
    </w:p>
    <w:p w:rsidR="001039AB" w:rsidRDefault="001152A6">
      <w:pPr>
        <w:pStyle w:val="ListeMaddemi"/>
        <w:spacing w:after="60"/>
        <w:rPr>
          <w:rFonts w:hint="eastAsia"/>
        </w:rPr>
      </w:pPr>
      <w:r>
        <w:t>Mezun sonuçları ve toplumsal etki değerlendirmesi.</w:t>
      </w:r>
    </w:p>
    <w:p w:rsidR="001039AB" w:rsidRDefault="001152A6">
      <w:pPr>
        <w:pStyle w:val="ListeMaddemi"/>
        <w:spacing w:after="60"/>
        <w:rPr>
          <w:rFonts w:hint="eastAsia"/>
        </w:rPr>
      </w:pPr>
      <w:r>
        <w:t>Programların stratejik sonuç değerlendirmesi.</w:t>
      </w:r>
    </w:p>
    <w:p w:rsidR="001039AB" w:rsidRDefault="001152A6">
      <w:pPr>
        <w:pStyle w:val="ListeMaddemi"/>
        <w:spacing w:after="60"/>
        <w:rPr>
          <w:rFonts w:hint="eastAsia"/>
        </w:rPr>
      </w:pPr>
      <w:r>
        <w:t>Dış paydaş/akran değerlendirme oturumu.</w:t>
      </w:r>
    </w:p>
    <w:p w:rsidR="001039AB" w:rsidRDefault="001152A6">
      <w:pPr>
        <w:pStyle w:val="ListeMaddemi"/>
        <w:spacing w:after="60"/>
        <w:rPr>
          <w:rFonts w:hint="eastAsia"/>
        </w:rPr>
      </w:pPr>
      <w:r>
        <w:t>Başarılı uygulamaların kurumsal standarda dönüştürülmesi.</w:t>
      </w:r>
    </w:p>
    <w:p w:rsidR="001039AB" w:rsidRDefault="001152A6">
      <w:pPr>
        <w:pStyle w:val="ListeMaddemi"/>
        <w:spacing w:after="60"/>
        <w:rPr>
          <w:rFonts w:hint="eastAsia"/>
        </w:rPr>
      </w:pPr>
      <w:r>
        <w:t>2030 sonrası stratejik plan için kanıta dayalı yeni durum analizi.</w:t>
      </w:r>
    </w:p>
    <w:p w:rsidR="001039AB" w:rsidRDefault="001152A6">
      <w:pPr>
        <w:spacing w:before="100" w:after="20"/>
        <w:rPr>
          <w:rFonts w:hint="eastAsia"/>
        </w:rPr>
      </w:pPr>
      <w:r>
        <w:rPr>
          <w:b/>
          <w:color w:val="5C6F88"/>
          <w:sz w:val="15"/>
        </w:rPr>
        <w:t>23 / ÖLÇÜM REHBERI</w:t>
      </w:r>
    </w:p>
    <w:p w:rsidR="001039AB" w:rsidRDefault="001152A6">
      <w:pPr>
        <w:pStyle w:val="Balk1"/>
      </w:pPr>
      <w:r>
        <w:t>Gösterge Sözlüğü</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994"/>
        <w:gridCol w:w="1994"/>
        <w:gridCol w:w="1994"/>
        <w:gridCol w:w="1994"/>
        <w:gridCol w:w="1994"/>
      </w:tblGrid>
      <w:tr w:rsidR="001039AB">
        <w:trPr>
          <w:jc w:val="center"/>
        </w:trPr>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Gösterge</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Tanım / formül</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Veri kaynağı</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Sıklık</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Sorumlu</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Program öz değerlendirme oranı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Standart yıllık rapor ve kanıt setini tamamlayan program / toplam program x100</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Program öz değerlendirme dosyası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BEK/Bölüm</w:t>
            </w:r>
          </w:p>
        </w:tc>
      </w:tr>
      <w:tr w:rsidR="001039AB">
        <w:trPr>
          <w:jc w:val="center"/>
        </w:trPr>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Ders çıktısı-ölçme uyum oranı</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Uygun bulunan incelenen ders / toplam incelenen ders x100</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Ders bilgi paketi + ölçme formu</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BEK + Ölçme Değerlendirme</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AKTS iş yükü doğrulama oranı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Öğrenci iş yükü verisiyle doğrulanan ders / toplam ders x100</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İş yükü anketi</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BEK</w:t>
            </w:r>
          </w:p>
        </w:tc>
      </w:tr>
    </w:tbl>
    <w:p w:rsidR="001039AB" w:rsidRDefault="001152A6">
      <w:pPr>
        <w:rPr>
          <w:rFonts w:hint="eastAsia"/>
        </w:rPr>
      </w:pPr>
      <w:r>
        <w:t>Yorum ilkesi: Gösterge değeri tek başına karar oluşturmaz; önceki dönem, hedef, nitel geri bildirim ve bağlamsal nedenlerle birlikte değerlendirilir.</w:t>
      </w:r>
    </w:p>
    <w:p w:rsidR="001039AB" w:rsidRDefault="001152A6">
      <w:pPr>
        <w:spacing w:before="100" w:after="20"/>
        <w:rPr>
          <w:rFonts w:hint="eastAsia"/>
        </w:rPr>
      </w:pPr>
      <w:r>
        <w:rPr>
          <w:b/>
          <w:color w:val="5C6F88"/>
          <w:sz w:val="15"/>
        </w:rPr>
        <w:lastRenderedPageBreak/>
        <w:t>23 / GÖSTERGE SÖZLÜĞÜ</w:t>
      </w:r>
    </w:p>
    <w:p w:rsidR="001039AB" w:rsidRDefault="001152A6">
      <w:pPr>
        <w:pStyle w:val="Balk1"/>
      </w:pPr>
      <w:r>
        <w:t>Gösterge Tanımları - Devam</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994"/>
        <w:gridCol w:w="1994"/>
        <w:gridCol w:w="1994"/>
        <w:gridCol w:w="1994"/>
        <w:gridCol w:w="1994"/>
      </w:tblGrid>
      <w:tr w:rsidR="001039AB">
        <w:trPr>
          <w:jc w:val="center"/>
        </w:trPr>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Gösterge</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Tanım / formül</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Veri kaynağı</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Sıklık</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Sorumlu</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Danışmanlık memnuniyeti</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Standart 5’li ölçek ortalaması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Öğrenci anketi</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Ölçme Değerlendirme</w:t>
            </w:r>
          </w:p>
        </w:tc>
      </w:tr>
      <w:tr w:rsidR="001039AB">
        <w:trPr>
          <w:jc w:val="center"/>
        </w:trPr>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Geri bildirimden iyileştirmeye dönüşen konu</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İyileştirme kararı alınan öncelikli konu / toplam öncelikli konu x100</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PUKÖ matrisi</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Kalite Kurulu</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Kapatılan PUKÖ oranı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Sonuç kanıtıyla kapatılan döngü / toplam döngü x100</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PUKÖ matrisi</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Kalite Kurulu</w:t>
            </w:r>
          </w:p>
        </w:tc>
      </w:tr>
    </w:tbl>
    <w:p w:rsidR="001039AB" w:rsidRDefault="001152A6">
      <w:pPr>
        <w:rPr>
          <w:rFonts w:hint="eastAsia"/>
        </w:rPr>
      </w:pPr>
      <w:r>
        <w:t>Yorum ilkesi: Gösterge değeri tek başına karar oluşturmaz; önceki dönem, hedef, nitel geri bildirim ve bağlamsal nedenlerle birlikte değerlendirilir.</w:t>
      </w:r>
    </w:p>
    <w:p w:rsidR="001039AB" w:rsidRDefault="001152A6">
      <w:pPr>
        <w:spacing w:before="100" w:after="20"/>
        <w:rPr>
          <w:rFonts w:hint="eastAsia"/>
        </w:rPr>
      </w:pPr>
      <w:r>
        <w:rPr>
          <w:b/>
          <w:color w:val="5C6F88"/>
          <w:sz w:val="15"/>
        </w:rPr>
        <w:t>23 / GÖSTERGE SÖZLÜĞÜ</w:t>
      </w:r>
    </w:p>
    <w:p w:rsidR="001039AB" w:rsidRDefault="001152A6">
      <w:pPr>
        <w:pStyle w:val="Balk1"/>
      </w:pPr>
      <w:r>
        <w:t>Gösterge Tanımları - Devam</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994"/>
        <w:gridCol w:w="1994"/>
        <w:gridCol w:w="1994"/>
        <w:gridCol w:w="1994"/>
        <w:gridCol w:w="1994"/>
      </w:tblGrid>
      <w:tr w:rsidR="001039AB">
        <w:trPr>
          <w:jc w:val="center"/>
        </w:trPr>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Gösterge</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Tanım / formül</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Veri kaynağı</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Sıklık</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Sorumlu</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Eğitim alanı kullanım oranı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Fiilî kullanım saati / kullanılabilir saat x100</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Kullanım çizelgesi</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Dönemlik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Ders-Sınav-Eğitim Alanları Koord.</w:t>
            </w:r>
          </w:p>
        </w:tc>
      </w:tr>
      <w:tr w:rsidR="001039AB">
        <w:trPr>
          <w:jc w:val="center"/>
        </w:trPr>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Alan kaynaklı program değişikliği</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Eğitim alanı nedeni kodlu değişiklik sayısı</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Program değişiklik kayıtları</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Dönemlik</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Koordinatörlük</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Nitelikli sanatsal çıktı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A/B sınıfı seçkili/jürili/kurumsal çıktı sayısı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Sanatsal üretim envanteri</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Bölümler</w:t>
            </w:r>
          </w:p>
        </w:tc>
      </w:tr>
    </w:tbl>
    <w:p w:rsidR="001039AB" w:rsidRDefault="001152A6">
      <w:pPr>
        <w:rPr>
          <w:rFonts w:hint="eastAsia"/>
        </w:rPr>
      </w:pPr>
      <w:r>
        <w:t>Yorum ilkesi: Gösterge değeri tek başına karar oluşturmaz; önceki dönem, hedef, nitel geri bildirim ve bağlamsal nedenlerle birlikte değerlendirilir.</w:t>
      </w:r>
    </w:p>
    <w:p w:rsidR="001039AB" w:rsidRDefault="001152A6">
      <w:pPr>
        <w:spacing w:before="100" w:after="20"/>
        <w:rPr>
          <w:rFonts w:hint="eastAsia"/>
        </w:rPr>
      </w:pPr>
      <w:r>
        <w:rPr>
          <w:b/>
          <w:color w:val="5C6F88"/>
          <w:sz w:val="15"/>
        </w:rPr>
        <w:t>23 / GÖSTERGE SÖZLÜĞÜ</w:t>
      </w:r>
    </w:p>
    <w:p w:rsidR="001039AB" w:rsidRDefault="001152A6">
      <w:pPr>
        <w:pStyle w:val="Balk1"/>
      </w:pPr>
      <w:r>
        <w:t>Gösterge Tanımları - Devam</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994"/>
        <w:gridCol w:w="1994"/>
        <w:gridCol w:w="1994"/>
        <w:gridCol w:w="1994"/>
        <w:gridCol w:w="1994"/>
      </w:tblGrid>
      <w:tr w:rsidR="001039AB">
        <w:trPr>
          <w:jc w:val="center"/>
        </w:trPr>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Gösterge</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Tanım / formül</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Veri kaynağı</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Sıklık</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Sorumlu</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Disiplinlerarası proje</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En az iki bölüm/disiplinin aktif üretim rolü aldığı proje</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Proje kaydı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Dekanlık/Bölümler</w:t>
            </w:r>
          </w:p>
        </w:tc>
      </w:tr>
      <w:tr w:rsidR="001039AB">
        <w:trPr>
          <w:jc w:val="center"/>
        </w:trPr>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Dış fonlu proje</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Üniversite dışı kaynaktan fon alan aktif proje</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Proje kayıtları</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Proje sorumluları</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Aktif stratejik dış paydaş</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 içinde en az bir somut ortak çıktı üreten paydaş</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Paydaş envanteri</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Dekanlık</w:t>
            </w:r>
          </w:p>
        </w:tc>
      </w:tr>
    </w:tbl>
    <w:p w:rsidR="001039AB" w:rsidRDefault="001152A6">
      <w:pPr>
        <w:rPr>
          <w:rFonts w:hint="eastAsia"/>
        </w:rPr>
      </w:pPr>
      <w:r>
        <w:t>Yorum ilkesi: Gösterge değeri tek başına karar oluşturmaz; önceki dönem, hedef, nitel geri bildirim ve bağlamsal nedenlerle birlikte değerlendirilir.</w:t>
      </w:r>
    </w:p>
    <w:p w:rsidR="001039AB" w:rsidRDefault="001152A6">
      <w:pPr>
        <w:spacing w:before="100" w:after="20"/>
        <w:rPr>
          <w:rFonts w:hint="eastAsia"/>
        </w:rPr>
      </w:pPr>
      <w:r>
        <w:rPr>
          <w:b/>
          <w:color w:val="5C6F88"/>
          <w:sz w:val="15"/>
        </w:rPr>
        <w:t>23 / GÖSTERGE SÖZLÜĞÜ</w:t>
      </w:r>
    </w:p>
    <w:p w:rsidR="001039AB" w:rsidRDefault="001152A6">
      <w:pPr>
        <w:pStyle w:val="Balk1"/>
      </w:pPr>
      <w:r>
        <w:t>Gösterge Tanımları - Devam</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994"/>
        <w:gridCol w:w="1994"/>
        <w:gridCol w:w="1994"/>
        <w:gridCol w:w="1994"/>
        <w:gridCol w:w="1994"/>
      </w:tblGrid>
      <w:tr w:rsidR="001039AB">
        <w:trPr>
          <w:jc w:val="center"/>
        </w:trPr>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Gösterge</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Tanım / formül</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Veri kaynağı</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Sıklık</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Sorumlu</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Gerçek proje deneyimi oranı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Dış paydaşlı gerçek brief/projede çalışan öğrenci / uygun öğrenci x100</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Ders/proje kayıtları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Bölümler</w:t>
            </w:r>
          </w:p>
        </w:tc>
      </w:tr>
      <w:tr w:rsidR="001039AB">
        <w:trPr>
          <w:jc w:val="center"/>
        </w:trPr>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Profesyonel portfolyo yeterlik oranı</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Standart rubrikte yeterli bulunan mezun adayı / toplam x100</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Portfolyo jürisi</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Bölümler</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Mezun yaratıcı alan faaliyeti</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18 ay içinde yaratıcı alanla ilişkili faaliyet bildiren mezun / yanıtlayan x100</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Mezun anketi</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Mezun izleme</w:t>
            </w:r>
          </w:p>
        </w:tc>
      </w:tr>
    </w:tbl>
    <w:p w:rsidR="001039AB" w:rsidRDefault="001152A6">
      <w:pPr>
        <w:rPr>
          <w:rFonts w:hint="eastAsia"/>
        </w:rPr>
      </w:pPr>
      <w:r>
        <w:t>Yorum ilkesi: Gösterge değeri tek başına karar oluşturmaz; önceki dönem, hedef, nitel geri bildirim ve bağlamsal nedenlerle birlikte değerlendirilir.</w:t>
      </w:r>
    </w:p>
    <w:p w:rsidR="001039AB" w:rsidRDefault="001152A6">
      <w:pPr>
        <w:spacing w:before="100" w:after="20"/>
        <w:rPr>
          <w:rFonts w:hint="eastAsia"/>
        </w:rPr>
      </w:pPr>
      <w:r>
        <w:rPr>
          <w:b/>
          <w:color w:val="5C6F88"/>
          <w:sz w:val="15"/>
        </w:rPr>
        <w:t>23 / GÖSTERGE SÖZLÜĞÜ</w:t>
      </w:r>
    </w:p>
    <w:p w:rsidR="001039AB" w:rsidRDefault="001152A6">
      <w:pPr>
        <w:pStyle w:val="Balk1"/>
      </w:pPr>
      <w:r>
        <w:t>Gösterge Tanımları - Devam</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994"/>
        <w:gridCol w:w="1994"/>
        <w:gridCol w:w="1994"/>
        <w:gridCol w:w="1994"/>
        <w:gridCol w:w="1994"/>
      </w:tblGrid>
      <w:tr w:rsidR="001039AB">
        <w:trPr>
          <w:jc w:val="center"/>
        </w:trPr>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Gösterge</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Tanım / formül</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Veri kaynağı</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Sıklık</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Sorumlu</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lastRenderedPageBreak/>
              <w:t>AI okuryazarlığı tamamlama</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Temel modülü/yeterliği tamamlayan öğrenci / aktif öğrenci x100</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Eğitim kayıtları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AI Kurulu/Koordinasyon</w:t>
            </w:r>
          </w:p>
        </w:tc>
      </w:tr>
      <w:tr w:rsidR="001039AB">
        <w:trPr>
          <w:jc w:val="center"/>
        </w:trPr>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AI kullanım koşulu açık ders</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İzlencede AI kullanım düzeyi ve beyan koşulu bulunan ders / toplam ders x100</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Ders izlenceleri</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Dönemlik</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Bölümler</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Erişilebilirlik değerlendirme oranı</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Standart kontrolü tamamlanan alan / toplam eğitim alanı x100</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Alan formu</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Dekanlık/ilgili birimler</w:t>
            </w:r>
          </w:p>
        </w:tc>
      </w:tr>
    </w:tbl>
    <w:p w:rsidR="001039AB" w:rsidRDefault="001152A6">
      <w:pPr>
        <w:rPr>
          <w:rFonts w:hint="eastAsia"/>
        </w:rPr>
      </w:pPr>
      <w:r>
        <w:t>Yorum ilkesi: Gösterge değeri tek başına karar oluşturmaz; önceki dönem, hedef, nitel geri bildirim ve bağlamsal nedenlerle birlikte değerlendirilir.</w:t>
      </w:r>
    </w:p>
    <w:p w:rsidR="001039AB" w:rsidRDefault="001152A6">
      <w:pPr>
        <w:spacing w:before="100" w:after="20"/>
        <w:rPr>
          <w:rFonts w:hint="eastAsia"/>
        </w:rPr>
      </w:pPr>
      <w:r>
        <w:rPr>
          <w:b/>
          <w:color w:val="5C6F88"/>
          <w:sz w:val="15"/>
        </w:rPr>
        <w:t>23 / GÖSTERGE SÖZLÜĞÜ</w:t>
      </w:r>
    </w:p>
    <w:p w:rsidR="001039AB" w:rsidRDefault="001152A6">
      <w:pPr>
        <w:pStyle w:val="Balk1"/>
      </w:pPr>
      <w:r>
        <w:t>Gösterge Tanımları - Devam</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1994"/>
        <w:gridCol w:w="1994"/>
        <w:gridCol w:w="1994"/>
        <w:gridCol w:w="1994"/>
        <w:gridCol w:w="1994"/>
      </w:tblGrid>
      <w:tr w:rsidR="001039AB">
        <w:trPr>
          <w:jc w:val="center"/>
        </w:trPr>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Gösterge</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Tanım / formül</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Veri kaynağı</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Sıklık</w:t>
            </w:r>
          </w:p>
        </w:tc>
        <w:tc>
          <w:tcPr>
            <w:tcW w:w="1994"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Sorumlu</w:t>
            </w:r>
          </w:p>
        </w:tc>
      </w:tr>
      <w:tr w:rsidR="001039AB">
        <w:trPr>
          <w:jc w:val="center"/>
        </w:trPr>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Toplumsal etki ölçülen faaliyet</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Standart etki/geri bildirim değerlendirmesi yapılan büyük faaliyet / toplam büyük faaliyet x100</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Etki formu</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tcMar>
              <w:top w:w="65" w:type="dxa"/>
              <w:left w:w="75" w:type="dxa"/>
              <w:bottom w:w="65" w:type="dxa"/>
              <w:right w:w="75" w:type="dxa"/>
            </w:tcMar>
          </w:tcPr>
          <w:p w:rsidR="001039AB" w:rsidRDefault="001152A6">
            <w:pPr>
              <w:spacing w:after="0" w:line="240" w:lineRule="auto"/>
              <w:rPr>
                <w:rFonts w:hint="eastAsia"/>
              </w:rPr>
            </w:pPr>
            <w:r>
              <w:rPr>
                <w:sz w:val="14"/>
              </w:rPr>
              <w:t>Etkinlik sorumluları</w:t>
            </w:r>
          </w:p>
        </w:tc>
      </w:tr>
      <w:tr w:rsidR="001039AB">
        <w:trPr>
          <w:jc w:val="center"/>
        </w:trPr>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Uluslararası ortak çıktı</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En az bir yabancı kurum/kişi ile ortak somut çıktı</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Proje/etkinlik kaydı</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Yıllık</w:t>
            </w:r>
          </w:p>
        </w:tc>
        <w:tc>
          <w:tcPr>
            <w:tcW w:w="1994"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Bölümler/Dekanlık</w:t>
            </w:r>
          </w:p>
        </w:tc>
      </w:tr>
    </w:tbl>
    <w:p w:rsidR="001039AB" w:rsidRDefault="001152A6">
      <w:pPr>
        <w:rPr>
          <w:rFonts w:hint="eastAsia"/>
        </w:rPr>
      </w:pPr>
      <w:r>
        <w:t>Yorum ilkesi: Gösterge değeri tek başına karar oluşturmaz; önceki dönem, hedef, nitel geri bildirim ve bağlamsal nedenlerle birlikte değerlendirilir.</w:t>
      </w:r>
    </w:p>
    <w:p w:rsidR="001039AB" w:rsidRDefault="001152A6">
      <w:pPr>
        <w:spacing w:before="100" w:after="20"/>
        <w:rPr>
          <w:rFonts w:hint="eastAsia"/>
        </w:rPr>
      </w:pPr>
      <w:r>
        <w:rPr>
          <w:b/>
          <w:color w:val="5C6F88"/>
          <w:sz w:val="15"/>
        </w:rPr>
        <w:t>24 / EKLER</w:t>
      </w:r>
    </w:p>
    <w:p w:rsidR="001039AB" w:rsidRDefault="001152A6">
      <w:pPr>
        <w:pStyle w:val="Balk1"/>
      </w:pPr>
      <w:r>
        <w:t>Ekler ve Kaynaklar</w:t>
      </w:r>
    </w:p>
    <w:p w:rsidR="001039AB" w:rsidRDefault="001152A6">
      <w:pPr>
        <w:spacing w:before="100" w:after="20"/>
        <w:rPr>
          <w:rFonts w:hint="eastAsia"/>
        </w:rPr>
      </w:pPr>
      <w:r>
        <w:rPr>
          <w:b/>
          <w:color w:val="5C6F88"/>
          <w:sz w:val="15"/>
        </w:rPr>
        <w:t>24 / BELGE İLIŞKILERI</w:t>
      </w:r>
    </w:p>
    <w:p w:rsidR="001039AB" w:rsidRDefault="001152A6">
      <w:pPr>
        <w:pStyle w:val="Balk1"/>
      </w:pPr>
      <w:r>
        <w:t>Stratejik Planla Birlikte Kullanılacak GSF Belgeleri</w:t>
      </w:r>
    </w:p>
    <w:tbl>
      <w:tblPr>
        <w:tblW w:w="0" w:type="auto"/>
        <w:jc w:val="center"/>
        <w:tblBorders>
          <w:top w:val="single" w:sz="4" w:space="0" w:color="D8D5CE"/>
          <w:left w:val="single" w:sz="4" w:space="0" w:color="D8D5CE"/>
          <w:bottom w:val="single" w:sz="4" w:space="0" w:color="D8D5CE"/>
          <w:right w:val="single" w:sz="4" w:space="0" w:color="D8D5CE"/>
          <w:insideH w:val="single" w:sz="4" w:space="0" w:color="D8D5CE"/>
          <w:insideV w:val="single" w:sz="4" w:space="0" w:color="D8D5CE"/>
        </w:tblBorders>
        <w:tblLook w:val="04A0" w:firstRow="1" w:lastRow="0" w:firstColumn="1" w:lastColumn="0" w:noHBand="0" w:noVBand="1"/>
      </w:tblPr>
      <w:tblGrid>
        <w:gridCol w:w="4986"/>
        <w:gridCol w:w="4986"/>
      </w:tblGrid>
      <w:tr w:rsidR="001039AB">
        <w:trPr>
          <w:jc w:val="center"/>
        </w:trPr>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Belge</w:t>
            </w:r>
          </w:p>
        </w:tc>
        <w:tc>
          <w:tcPr>
            <w:tcW w:w="4986" w:type="dxa"/>
            <w:shd w:val="clear" w:color="auto" w:fill="18212B"/>
            <w:tcMar>
              <w:top w:w="65" w:type="dxa"/>
              <w:left w:w="75" w:type="dxa"/>
              <w:bottom w:w="65" w:type="dxa"/>
              <w:right w:w="75" w:type="dxa"/>
            </w:tcMar>
            <w:vAlign w:val="center"/>
          </w:tcPr>
          <w:p w:rsidR="001039AB" w:rsidRDefault="001152A6">
            <w:pPr>
              <w:spacing w:after="0" w:line="240" w:lineRule="auto"/>
              <w:jc w:val="center"/>
              <w:rPr>
                <w:rFonts w:hint="eastAsia"/>
              </w:rPr>
            </w:pPr>
            <w:r>
              <w:rPr>
                <w:b/>
                <w:color w:val="FFFFFF"/>
                <w:sz w:val="14"/>
              </w:rPr>
              <w:t>Stratejik işlev</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GSF Kalite Güvence Sistemi El Kitabı</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PUKÖ, veri, kanıt, yönetişim ve yıllık kalite takvimi.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GSF Yapay Zekâ Kullanım Politikası ve El Kitabı</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AI’ın eğitim, araştırma, üretim ve kurumsal süreçlerde etik kullanım çerçevesi.</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Ölçme ve Değerlendirme Koordinatörlüğü Yönergesi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Ölçme, anket, geri bildirim ve geliştirici faaliyetler.</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Ders ve Sınav Programları ile Eğitim Alanları Koordinatörlüğü Yönergesi</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Programlama, alan envanteri, kullanım ve koordinasyon.</w:t>
            </w:r>
          </w:p>
        </w:tc>
      </w:tr>
      <w:tr w:rsidR="001039AB">
        <w:trPr>
          <w:jc w:val="center"/>
        </w:trPr>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Fakülte Kalite Kurulu Yönergesi</w:t>
            </w:r>
          </w:p>
        </w:tc>
        <w:tc>
          <w:tcPr>
            <w:tcW w:w="4986" w:type="dxa"/>
            <w:tcMar>
              <w:top w:w="65" w:type="dxa"/>
              <w:left w:w="75" w:type="dxa"/>
              <w:bottom w:w="65" w:type="dxa"/>
              <w:right w:w="75" w:type="dxa"/>
            </w:tcMar>
          </w:tcPr>
          <w:p w:rsidR="001039AB" w:rsidRDefault="001152A6">
            <w:pPr>
              <w:spacing w:after="0" w:line="240" w:lineRule="auto"/>
              <w:rPr>
                <w:rFonts w:hint="eastAsia"/>
              </w:rPr>
            </w:pPr>
            <w:r>
              <w:rPr>
                <w:sz w:val="14"/>
              </w:rPr>
              <w:t>Karar izleme, PUKÖ, risk, gösterge ve kalite yönetişimi.</w:t>
            </w:r>
          </w:p>
        </w:tc>
      </w:tr>
      <w:tr w:rsidR="001039AB">
        <w:trPr>
          <w:jc w:val="center"/>
        </w:trPr>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Program/Ders İzleme Formları</w:t>
            </w:r>
          </w:p>
        </w:tc>
        <w:tc>
          <w:tcPr>
            <w:tcW w:w="4986" w:type="dxa"/>
            <w:shd w:val="clear" w:color="auto" w:fill="F8F7F4"/>
            <w:tcMar>
              <w:top w:w="65" w:type="dxa"/>
              <w:left w:w="75" w:type="dxa"/>
              <w:bottom w:w="65" w:type="dxa"/>
              <w:right w:w="75" w:type="dxa"/>
            </w:tcMar>
          </w:tcPr>
          <w:p w:rsidR="001039AB" w:rsidRDefault="001152A6">
            <w:pPr>
              <w:spacing w:after="0" w:line="240" w:lineRule="auto"/>
              <w:rPr>
                <w:rFonts w:hint="eastAsia"/>
              </w:rPr>
            </w:pPr>
            <w:r>
              <w:rPr>
                <w:sz w:val="14"/>
              </w:rPr>
              <w:t>Program niteliği ve ders düzeyi iyileştirme kanıtı.</w:t>
            </w:r>
          </w:p>
        </w:tc>
      </w:tr>
    </w:tbl>
    <w:p w:rsidR="001039AB" w:rsidRDefault="001152A6">
      <w:pPr>
        <w:spacing w:before="100" w:after="20"/>
        <w:rPr>
          <w:rFonts w:hint="eastAsia"/>
        </w:rPr>
      </w:pPr>
      <w:r>
        <w:rPr>
          <w:b/>
          <w:color w:val="5C6F88"/>
          <w:sz w:val="15"/>
        </w:rPr>
        <w:t>24 / KAYNAKLAR</w:t>
      </w:r>
    </w:p>
    <w:p w:rsidR="001039AB" w:rsidRDefault="001152A6">
      <w:pPr>
        <w:pStyle w:val="Balk1"/>
      </w:pPr>
      <w:r>
        <w:t>Temel Kurumsal Kaynaklar</w:t>
      </w:r>
    </w:p>
    <w:p w:rsidR="001039AB" w:rsidRDefault="001152A6">
      <w:pPr>
        <w:pStyle w:val="ListeMaddemi"/>
        <w:spacing w:after="60"/>
        <w:rPr>
          <w:rFonts w:hint="eastAsia"/>
        </w:rPr>
      </w:pPr>
      <w:r>
        <w:t>Gaziantep Üniversitesi 2025-2029 Stratejik Planı - Güncellenmiş Versiyon.</w:t>
      </w:r>
    </w:p>
    <w:p w:rsidR="001039AB" w:rsidRDefault="001152A6">
      <w:pPr>
        <w:pStyle w:val="ListeMaddemi"/>
        <w:spacing w:after="60"/>
        <w:rPr>
          <w:rFonts w:hint="eastAsia"/>
        </w:rPr>
      </w:pPr>
      <w:r>
        <w:t>Gaziantep Üniversitesi Güzel Sanatlar Fakültesi Kalite Güvence Sistemi El Kitabı, Sürüm 1.0, 2026.</w:t>
      </w:r>
    </w:p>
    <w:p w:rsidR="001039AB" w:rsidRDefault="001152A6">
      <w:pPr>
        <w:pStyle w:val="ListeMaddemi"/>
        <w:spacing w:after="60"/>
        <w:rPr>
          <w:rFonts w:hint="eastAsia"/>
        </w:rPr>
      </w:pPr>
      <w:r>
        <w:t>Gaziantep Üniversitesi Güzel Sanatlar Fakültesi Yapay Zekâ Kullanım Politikası ve El Kitabı, Sürüm 1.0, 2026.</w:t>
      </w:r>
    </w:p>
    <w:p w:rsidR="001039AB" w:rsidRDefault="001152A6">
      <w:pPr>
        <w:pStyle w:val="ListeMaddemi"/>
        <w:spacing w:after="60"/>
        <w:rPr>
          <w:rFonts w:hint="eastAsia"/>
        </w:rPr>
      </w:pPr>
      <w:r>
        <w:t>GAÜN GSF Fakülte Kalite Kurulu Yönergesi.</w:t>
      </w:r>
    </w:p>
    <w:p w:rsidR="001039AB" w:rsidRDefault="001152A6">
      <w:pPr>
        <w:pStyle w:val="ListeMaddemi"/>
        <w:spacing w:after="60"/>
        <w:rPr>
          <w:rFonts w:hint="eastAsia"/>
        </w:rPr>
      </w:pPr>
      <w:r>
        <w:t>GAÜN GSF Ders ve Sınav Programları ile Eğitim Alanları Koordinatörlüğü Yönergesi.</w:t>
      </w:r>
    </w:p>
    <w:p w:rsidR="001039AB" w:rsidRDefault="001152A6">
      <w:pPr>
        <w:pStyle w:val="Balk2"/>
      </w:pPr>
      <w:r>
        <w:t>Uluslararası karşılaştırma için yaklaşım notu</w:t>
      </w:r>
    </w:p>
    <w:p w:rsidR="001039AB" w:rsidRDefault="001152A6">
      <w:pPr>
        <w:rPr>
          <w:rFonts w:hint="eastAsia"/>
        </w:rPr>
      </w:pPr>
      <w:r>
        <w:t>Planın kavramsal geliştirilmesinde sanat ve tasarım yükseköğretimindeki güncel stratejik eğilimler - öğrenci yolculuğu, sanatsal araştırma, disiplinlerarasılık, yaratıcı teknolojiler, mezun sonuçları, toplumsal etki ve sürdürülebilirlik - karşılaştırma zemini olarak dikkate alınmıştır. Bu belge, söz konusu örnekleri doğrudan kopyalamaz; GAÜN üst planı ve GSF kurumsal belgeleriyle uyumlu özgün bir fakülte uygulama modeli kurar.</w:t>
      </w:r>
    </w:p>
    <w:p w:rsidR="001039AB" w:rsidRDefault="001152A6">
      <w:pPr>
        <w:spacing w:before="100" w:after="20"/>
        <w:rPr>
          <w:rFonts w:hint="eastAsia"/>
        </w:rPr>
      </w:pPr>
      <w:r>
        <w:rPr>
          <w:b/>
          <w:color w:val="5C6F88"/>
          <w:sz w:val="15"/>
        </w:rPr>
        <w:t>24 / VERI TAMAMLAMA NOTU</w:t>
      </w:r>
    </w:p>
    <w:p w:rsidR="001039AB" w:rsidRDefault="001152A6">
      <w:pPr>
        <w:pStyle w:val="Balk1"/>
      </w:pPr>
      <w:r>
        <w:t>Nihai Onay Öncesi Doldurulacak Alanlar</w:t>
      </w:r>
    </w:p>
    <w:p w:rsidR="001039AB" w:rsidRDefault="001152A6">
      <w:pPr>
        <w:pStyle w:val="ListeMaddemi"/>
        <w:spacing w:after="60"/>
        <w:rPr>
          <w:rFonts w:hint="eastAsia"/>
        </w:rPr>
      </w:pPr>
      <w:r>
        <w:t>2026 baz değerleri: öğrenci, personel, program, ders, eğitim alanı, sanatsal çıktı ve mezun verileri.</w:t>
      </w:r>
    </w:p>
    <w:p w:rsidR="001039AB" w:rsidRDefault="001152A6">
      <w:pPr>
        <w:pStyle w:val="ListeMaddemi"/>
        <w:spacing w:after="60"/>
        <w:rPr>
          <w:rFonts w:hint="eastAsia"/>
        </w:rPr>
      </w:pPr>
      <w:r>
        <w:t>Bölüm/program listesi ve güncel kontenjanlar.</w:t>
      </w:r>
    </w:p>
    <w:p w:rsidR="001039AB" w:rsidRDefault="001152A6">
      <w:pPr>
        <w:pStyle w:val="ListeMaddemi"/>
        <w:spacing w:after="60"/>
        <w:rPr>
          <w:rFonts w:hint="eastAsia"/>
        </w:rPr>
      </w:pPr>
      <w:r>
        <w:lastRenderedPageBreak/>
        <w:t>Fakülteye ait kesin bütçe ve yatırım verileri.</w:t>
      </w:r>
    </w:p>
    <w:p w:rsidR="001039AB" w:rsidRDefault="001152A6">
      <w:pPr>
        <w:pStyle w:val="ListeMaddemi"/>
        <w:spacing w:after="60"/>
        <w:rPr>
          <w:rFonts w:hint="eastAsia"/>
        </w:rPr>
      </w:pPr>
      <w:r>
        <w:t>Mevcut uluslararası protokol ve aktif ortaklık listesi.</w:t>
      </w:r>
    </w:p>
    <w:p w:rsidR="001039AB" w:rsidRDefault="001152A6">
      <w:pPr>
        <w:pStyle w:val="ListeMaddemi"/>
        <w:spacing w:after="60"/>
        <w:rPr>
          <w:rFonts w:hint="eastAsia"/>
        </w:rPr>
      </w:pPr>
      <w:r>
        <w:t>Mevcut eğitim alanları envanteri ve kullanım saatleri.</w:t>
      </w:r>
    </w:p>
    <w:p w:rsidR="001039AB" w:rsidRDefault="001152A6">
      <w:pPr>
        <w:pStyle w:val="ListeMaddemi"/>
        <w:spacing w:after="60"/>
        <w:rPr>
          <w:rFonts w:hint="eastAsia"/>
        </w:rPr>
      </w:pPr>
      <w:r>
        <w:t>2026 ders/öğrenci anketlerinden baz memnuniyet ve katılım değerleri.</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NIHAI ILKE</w:t>
            </w:r>
            <w:r>
              <w:rPr>
                <w:b/>
                <w:color w:val="A78655"/>
                <w:sz w:val="17"/>
              </w:rPr>
              <w:br/>
            </w:r>
            <w:r>
              <w:rPr>
                <w:b/>
                <w:color w:val="18212B"/>
                <w:sz w:val="15"/>
              </w:rPr>
              <w:t>Baz veri bulunmayan hiçbir alanda geçmiş değer uydurulmaz. İlk güvenilir ölçüm başlangıç değeri olarak kaydedilir ve 2027-2029 gelişimi bunun üzerinden izlenir.</w:t>
            </w:r>
          </w:p>
        </w:tc>
      </w:tr>
    </w:tbl>
    <w:p w:rsidR="001039AB" w:rsidRDefault="001152A6">
      <w:pPr>
        <w:spacing w:before="100" w:after="20"/>
        <w:rPr>
          <w:rFonts w:hint="eastAsia"/>
        </w:rPr>
      </w:pPr>
      <w:r>
        <w:rPr>
          <w:b/>
          <w:color w:val="5C6F88"/>
          <w:sz w:val="15"/>
        </w:rPr>
        <w:t>24 / KAPANIŞ</w:t>
      </w:r>
    </w:p>
    <w:p w:rsidR="001039AB" w:rsidRDefault="001152A6">
      <w:pPr>
        <w:pStyle w:val="Balk1"/>
      </w:pPr>
      <w:r>
        <w:t>Kapanış</w:t>
      </w:r>
    </w:p>
    <w:tbl>
      <w:tblPr>
        <w:tblW w:w="0" w:type="auto"/>
        <w:jc w:val="center"/>
        <w:tblBorders>
          <w:top w:val="single" w:sz="3" w:space="0" w:color="E4E0D8"/>
          <w:left w:val="single" w:sz="3" w:space="0" w:color="E4E0D8"/>
          <w:bottom w:val="single" w:sz="3" w:space="0" w:color="E4E0D8"/>
          <w:right w:val="single" w:sz="3" w:space="0" w:color="E4E0D8"/>
          <w:insideH w:val="single" w:sz="3" w:space="0" w:color="E4E0D8"/>
          <w:insideV w:val="single" w:sz="3" w:space="0" w:color="E4E0D8"/>
        </w:tblBorders>
        <w:tblLook w:val="04A0" w:firstRow="1" w:lastRow="0" w:firstColumn="1" w:lastColumn="0" w:noHBand="0" w:noVBand="1"/>
      </w:tblPr>
      <w:tblGrid>
        <w:gridCol w:w="198"/>
        <w:gridCol w:w="4986"/>
      </w:tblGrid>
      <w:tr w:rsidR="001039AB">
        <w:trPr>
          <w:jc w:val="center"/>
        </w:trPr>
        <w:tc>
          <w:tcPr>
            <w:tcW w:w="198" w:type="dxa"/>
            <w:shd w:val="clear" w:color="auto" w:fill="A78655"/>
            <w:tcMar>
              <w:top w:w="65" w:type="dxa"/>
              <w:left w:w="75" w:type="dxa"/>
              <w:bottom w:w="65" w:type="dxa"/>
              <w:right w:w="75" w:type="dxa"/>
            </w:tcMar>
          </w:tcPr>
          <w:p w:rsidR="001039AB" w:rsidRDefault="001039AB">
            <w:pPr>
              <w:spacing w:after="0" w:line="240" w:lineRule="auto"/>
              <w:rPr>
                <w:rFonts w:hint="eastAsia"/>
              </w:rPr>
            </w:pPr>
          </w:p>
        </w:tc>
        <w:tc>
          <w:tcPr>
            <w:tcW w:w="4986" w:type="dxa"/>
            <w:shd w:val="clear" w:color="auto" w:fill="F2F0EB"/>
            <w:tcMar>
              <w:top w:w="65" w:type="dxa"/>
              <w:left w:w="75" w:type="dxa"/>
              <w:bottom w:w="65" w:type="dxa"/>
              <w:right w:w="75" w:type="dxa"/>
            </w:tcMar>
          </w:tcPr>
          <w:p w:rsidR="001039AB" w:rsidRDefault="001152A6">
            <w:pPr>
              <w:spacing w:after="0" w:line="240" w:lineRule="auto"/>
              <w:rPr>
                <w:rFonts w:hint="eastAsia"/>
              </w:rPr>
            </w:pPr>
            <w:r>
              <w:rPr>
                <w:b/>
                <w:color w:val="A78655"/>
                <w:sz w:val="17"/>
              </w:rPr>
              <w:t>BAŞARI ÖLÇÜTÜ</w:t>
            </w:r>
            <w:r>
              <w:rPr>
                <w:b/>
                <w:color w:val="A78655"/>
                <w:sz w:val="17"/>
              </w:rPr>
              <w:br/>
            </w:r>
            <w:r>
              <w:rPr>
                <w:b/>
                <w:color w:val="18212B"/>
                <w:sz w:val="15"/>
              </w:rPr>
              <w:t>Bu planın başarısı 2029’da kaç faaliyet yaptığımızla değil; öğrencimizin nasıl değiştiği, sanat ve tasarım üretimimizin ne kadar güçlendiği, Gaziantep ve dünya ile nasıl ilişkiler kurduğumuz ve fakültenin kendi kendini ne ölçüde geliştirebildiğiyle anlaşılacaktır.</w:t>
            </w:r>
          </w:p>
        </w:tc>
      </w:tr>
    </w:tbl>
    <w:p w:rsidR="001039AB" w:rsidRDefault="001152A6">
      <w:pPr>
        <w:pStyle w:val="Balk2"/>
      </w:pPr>
      <w:r>
        <w:t>NİHAİ ONAY VE YILLIK GÜNCELLEME KONTROLÜ</w:t>
      </w:r>
    </w:p>
    <w:p w:rsidR="001039AB" w:rsidRDefault="001152A6">
      <w:pPr>
        <w:rPr>
          <w:rFonts w:hint="eastAsia"/>
        </w:rPr>
      </w:pPr>
      <w:r>
        <w:t>Stratejik Plan yaşayan bir yönetim belgesidir. Her yıllık değerlendirme sonunda aşağıdaki kontrol alanları Dekanlık koordinasyonunda gözden geçirilir; gerekli güncellemeler yetkili kurul ve komisyon süreçlerinden geçirilerek kayıt altına alınır.</w:t>
      </w:r>
    </w:p>
    <w:tbl>
      <w:tblPr>
        <w:tblW w:w="0" w:type="auto"/>
        <w:jc w:val="center"/>
        <w:tblLook w:val="04A0" w:firstRow="1" w:lastRow="0" w:firstColumn="1" w:lastColumn="0" w:noHBand="0" w:noVBand="1"/>
      </w:tblPr>
      <w:tblGrid>
        <w:gridCol w:w="5185"/>
        <w:gridCol w:w="5185"/>
      </w:tblGrid>
      <w:tr w:rsidR="001039AB">
        <w:trPr>
          <w:jc w:val="center"/>
        </w:trPr>
        <w:tc>
          <w:tcPr>
            <w:tcW w:w="5185" w:type="dxa"/>
            <w:shd w:val="clear" w:color="auto" w:fill="0C3067"/>
          </w:tcPr>
          <w:p w:rsidR="001039AB" w:rsidRDefault="001152A6">
            <w:pPr>
              <w:spacing w:after="0"/>
              <w:rPr>
                <w:rFonts w:hint="eastAsia"/>
              </w:rPr>
            </w:pPr>
            <w:r>
              <w:rPr>
                <w:b/>
                <w:color w:val="FFFFFF"/>
                <w:sz w:val="15"/>
              </w:rPr>
              <w:t>Kontrol alanı</w:t>
            </w:r>
          </w:p>
        </w:tc>
        <w:tc>
          <w:tcPr>
            <w:tcW w:w="5185" w:type="dxa"/>
            <w:shd w:val="clear" w:color="auto" w:fill="0C3067"/>
          </w:tcPr>
          <w:p w:rsidR="001039AB" w:rsidRDefault="001152A6">
            <w:pPr>
              <w:spacing w:after="0"/>
              <w:rPr>
                <w:rFonts w:hint="eastAsia"/>
              </w:rPr>
            </w:pPr>
            <w:r>
              <w:rPr>
                <w:b/>
                <w:color w:val="FFFFFF"/>
                <w:sz w:val="15"/>
              </w:rPr>
              <w:t>Yıllık kontrol sorusu</w:t>
            </w:r>
          </w:p>
        </w:tc>
      </w:tr>
      <w:tr w:rsidR="001039AB">
        <w:trPr>
          <w:jc w:val="center"/>
        </w:trPr>
        <w:tc>
          <w:tcPr>
            <w:tcW w:w="5185" w:type="dxa"/>
            <w:shd w:val="clear" w:color="auto" w:fill="FFFFFF"/>
          </w:tcPr>
          <w:p w:rsidR="001039AB" w:rsidRDefault="001152A6">
            <w:pPr>
              <w:spacing w:after="0"/>
              <w:rPr>
                <w:rFonts w:hint="eastAsia"/>
              </w:rPr>
            </w:pPr>
            <w:r>
              <w:rPr>
                <w:color w:val="29323D"/>
                <w:sz w:val="15"/>
              </w:rPr>
              <w:t>Gösterge baz değerleri</w:t>
            </w:r>
          </w:p>
        </w:tc>
        <w:tc>
          <w:tcPr>
            <w:tcW w:w="5185" w:type="dxa"/>
            <w:shd w:val="clear" w:color="auto" w:fill="FFFFFF"/>
          </w:tcPr>
          <w:p w:rsidR="001039AB" w:rsidRDefault="001152A6">
            <w:pPr>
              <w:spacing w:after="0"/>
              <w:rPr>
                <w:rFonts w:hint="eastAsia"/>
              </w:rPr>
            </w:pPr>
            <w:r>
              <w:rPr>
                <w:color w:val="29323D"/>
                <w:sz w:val="15"/>
              </w:rPr>
              <w:t>Eksik baz değerler tamamlandı mı; hesaplama yöntemi değiştiyse gerekçesi kaydedildi mi?</w:t>
            </w:r>
          </w:p>
        </w:tc>
      </w:tr>
      <w:tr w:rsidR="001039AB">
        <w:trPr>
          <w:jc w:val="center"/>
        </w:trPr>
        <w:tc>
          <w:tcPr>
            <w:tcW w:w="5185" w:type="dxa"/>
            <w:shd w:val="clear" w:color="auto" w:fill="F7F9FC"/>
          </w:tcPr>
          <w:p w:rsidR="001039AB" w:rsidRDefault="001152A6">
            <w:pPr>
              <w:spacing w:after="0"/>
              <w:rPr>
                <w:rFonts w:hint="eastAsia"/>
              </w:rPr>
            </w:pPr>
            <w:r>
              <w:rPr>
                <w:color w:val="29323D"/>
                <w:sz w:val="15"/>
              </w:rPr>
              <w:t>Hedef gerçekleşmeleri</w:t>
            </w:r>
          </w:p>
        </w:tc>
        <w:tc>
          <w:tcPr>
            <w:tcW w:w="5185" w:type="dxa"/>
            <w:shd w:val="clear" w:color="auto" w:fill="F7F9FC"/>
          </w:tcPr>
          <w:p w:rsidR="001039AB" w:rsidRDefault="001152A6">
            <w:pPr>
              <w:spacing w:after="0"/>
              <w:rPr>
                <w:rFonts w:hint="eastAsia"/>
              </w:rPr>
            </w:pPr>
            <w:r>
              <w:rPr>
                <w:color w:val="29323D"/>
                <w:sz w:val="15"/>
              </w:rPr>
              <w:t>Yıllık hedef–gerçekleşme farkı ve sapma nedeni analiz edildi mi?</w:t>
            </w:r>
          </w:p>
        </w:tc>
      </w:tr>
      <w:tr w:rsidR="001039AB">
        <w:trPr>
          <w:jc w:val="center"/>
        </w:trPr>
        <w:tc>
          <w:tcPr>
            <w:tcW w:w="5185" w:type="dxa"/>
            <w:shd w:val="clear" w:color="auto" w:fill="FFFFFF"/>
          </w:tcPr>
          <w:p w:rsidR="001039AB" w:rsidRDefault="001152A6">
            <w:pPr>
              <w:spacing w:after="0"/>
              <w:rPr>
                <w:rFonts w:hint="eastAsia"/>
              </w:rPr>
            </w:pPr>
            <w:r>
              <w:rPr>
                <w:color w:val="29323D"/>
                <w:sz w:val="15"/>
              </w:rPr>
              <w:t>Koordinatörlük raporları</w:t>
            </w:r>
          </w:p>
        </w:tc>
        <w:tc>
          <w:tcPr>
            <w:tcW w:w="5185" w:type="dxa"/>
            <w:shd w:val="clear" w:color="auto" w:fill="FFFFFF"/>
          </w:tcPr>
          <w:p w:rsidR="001039AB" w:rsidRDefault="001152A6">
            <w:pPr>
              <w:spacing w:after="0"/>
              <w:rPr>
                <w:rFonts w:hint="eastAsia"/>
              </w:rPr>
            </w:pPr>
            <w:r>
              <w:rPr>
                <w:color w:val="29323D"/>
                <w:sz w:val="15"/>
              </w:rPr>
              <w:t>İlgili hedeflere kanıt ve iyileştirme kararı olarak işlendi mi?</w:t>
            </w:r>
          </w:p>
        </w:tc>
      </w:tr>
      <w:tr w:rsidR="001039AB">
        <w:trPr>
          <w:jc w:val="center"/>
        </w:trPr>
        <w:tc>
          <w:tcPr>
            <w:tcW w:w="5185" w:type="dxa"/>
            <w:shd w:val="clear" w:color="auto" w:fill="F7F9FC"/>
          </w:tcPr>
          <w:p w:rsidR="001039AB" w:rsidRDefault="001152A6">
            <w:pPr>
              <w:spacing w:after="0"/>
              <w:rPr>
                <w:rFonts w:hint="eastAsia"/>
              </w:rPr>
            </w:pPr>
            <w:r>
              <w:rPr>
                <w:color w:val="29323D"/>
                <w:sz w:val="15"/>
              </w:rPr>
              <w:t>Bölüm öz değerlendirmeleri</w:t>
            </w:r>
          </w:p>
        </w:tc>
        <w:tc>
          <w:tcPr>
            <w:tcW w:w="5185" w:type="dxa"/>
            <w:shd w:val="clear" w:color="auto" w:fill="F7F9FC"/>
          </w:tcPr>
          <w:p w:rsidR="001039AB" w:rsidRDefault="001152A6">
            <w:pPr>
              <w:spacing w:after="0"/>
              <w:rPr>
                <w:rFonts w:hint="eastAsia"/>
              </w:rPr>
            </w:pPr>
            <w:r>
              <w:rPr>
                <w:color w:val="29323D"/>
                <w:sz w:val="15"/>
              </w:rPr>
              <w:t>Program, ders, öğrenci ve alan kullanım bulguları stratejik hedeflere bağlandı mı?</w:t>
            </w:r>
          </w:p>
        </w:tc>
      </w:tr>
      <w:tr w:rsidR="001039AB">
        <w:trPr>
          <w:jc w:val="center"/>
        </w:trPr>
        <w:tc>
          <w:tcPr>
            <w:tcW w:w="5185" w:type="dxa"/>
            <w:shd w:val="clear" w:color="auto" w:fill="FFFFFF"/>
          </w:tcPr>
          <w:p w:rsidR="001039AB" w:rsidRDefault="001152A6">
            <w:pPr>
              <w:spacing w:after="0"/>
              <w:rPr>
                <w:rFonts w:hint="eastAsia"/>
              </w:rPr>
            </w:pPr>
            <w:r>
              <w:rPr>
                <w:color w:val="29323D"/>
                <w:sz w:val="15"/>
              </w:rPr>
              <w:t>Paydaş geri bildirimi</w:t>
            </w:r>
          </w:p>
        </w:tc>
        <w:tc>
          <w:tcPr>
            <w:tcW w:w="5185" w:type="dxa"/>
            <w:shd w:val="clear" w:color="auto" w:fill="FFFFFF"/>
          </w:tcPr>
          <w:p w:rsidR="001039AB" w:rsidRDefault="001152A6">
            <w:pPr>
              <w:spacing w:after="0"/>
              <w:rPr>
                <w:rFonts w:hint="eastAsia"/>
              </w:rPr>
            </w:pPr>
            <w:r>
              <w:rPr>
                <w:color w:val="29323D"/>
                <w:sz w:val="15"/>
              </w:rPr>
              <w:t>Öğrenci, mezun, personel ve dış paydaş sonuçları karara dönüştürüldü mü?</w:t>
            </w:r>
          </w:p>
        </w:tc>
      </w:tr>
      <w:tr w:rsidR="001039AB">
        <w:trPr>
          <w:jc w:val="center"/>
        </w:trPr>
        <w:tc>
          <w:tcPr>
            <w:tcW w:w="5185" w:type="dxa"/>
            <w:shd w:val="clear" w:color="auto" w:fill="F7F9FC"/>
          </w:tcPr>
          <w:p w:rsidR="001039AB" w:rsidRDefault="001152A6">
            <w:pPr>
              <w:spacing w:after="0"/>
              <w:rPr>
                <w:rFonts w:hint="eastAsia"/>
              </w:rPr>
            </w:pPr>
            <w:r>
              <w:rPr>
                <w:color w:val="29323D"/>
                <w:sz w:val="15"/>
              </w:rPr>
              <w:t>Riskler</w:t>
            </w:r>
          </w:p>
        </w:tc>
        <w:tc>
          <w:tcPr>
            <w:tcW w:w="5185" w:type="dxa"/>
            <w:shd w:val="clear" w:color="auto" w:fill="F7F9FC"/>
          </w:tcPr>
          <w:p w:rsidR="001039AB" w:rsidRDefault="001152A6">
            <w:pPr>
              <w:spacing w:after="0"/>
              <w:rPr>
                <w:rFonts w:hint="eastAsia"/>
              </w:rPr>
            </w:pPr>
            <w:r>
              <w:rPr>
                <w:color w:val="29323D"/>
                <w:sz w:val="15"/>
              </w:rPr>
              <w:t>Yeni riskler ve fırsatlar kaydedildi; mevcut kontrollerin etkililiği değerlendirildi mi?</w:t>
            </w:r>
          </w:p>
        </w:tc>
      </w:tr>
      <w:tr w:rsidR="001039AB">
        <w:trPr>
          <w:jc w:val="center"/>
        </w:trPr>
        <w:tc>
          <w:tcPr>
            <w:tcW w:w="5185" w:type="dxa"/>
            <w:shd w:val="clear" w:color="auto" w:fill="FFFFFF"/>
          </w:tcPr>
          <w:p w:rsidR="001039AB" w:rsidRDefault="001152A6">
            <w:pPr>
              <w:spacing w:after="0"/>
              <w:rPr>
                <w:rFonts w:hint="eastAsia"/>
              </w:rPr>
            </w:pPr>
            <w:r>
              <w:rPr>
                <w:color w:val="29323D"/>
                <w:sz w:val="15"/>
              </w:rPr>
              <w:t>Kaynaklar</w:t>
            </w:r>
          </w:p>
        </w:tc>
        <w:tc>
          <w:tcPr>
            <w:tcW w:w="5185" w:type="dxa"/>
            <w:shd w:val="clear" w:color="auto" w:fill="FFFFFF"/>
          </w:tcPr>
          <w:p w:rsidR="001039AB" w:rsidRDefault="001152A6">
            <w:pPr>
              <w:spacing w:after="0"/>
              <w:rPr>
                <w:rFonts w:hint="eastAsia"/>
              </w:rPr>
            </w:pPr>
            <w:r>
              <w:rPr>
                <w:color w:val="29323D"/>
                <w:sz w:val="15"/>
              </w:rPr>
              <w:t>Bütçe, insan kaynağı, eğitim alanı ve teknoloji ihtiyaçları hedef öncelikleriyle ilişkilendirildi mi?</w:t>
            </w:r>
          </w:p>
        </w:tc>
      </w:tr>
      <w:tr w:rsidR="001039AB">
        <w:trPr>
          <w:jc w:val="center"/>
        </w:trPr>
        <w:tc>
          <w:tcPr>
            <w:tcW w:w="5185" w:type="dxa"/>
            <w:shd w:val="clear" w:color="auto" w:fill="F7F9FC"/>
          </w:tcPr>
          <w:p w:rsidR="001039AB" w:rsidRDefault="001152A6">
            <w:pPr>
              <w:spacing w:after="0"/>
              <w:rPr>
                <w:rFonts w:hint="eastAsia"/>
              </w:rPr>
            </w:pPr>
            <w:r>
              <w:rPr>
                <w:color w:val="29323D"/>
                <w:sz w:val="15"/>
              </w:rPr>
              <w:t>PUKÖ</w:t>
            </w:r>
          </w:p>
        </w:tc>
        <w:tc>
          <w:tcPr>
            <w:tcW w:w="5185" w:type="dxa"/>
            <w:shd w:val="clear" w:color="auto" w:fill="F7F9FC"/>
          </w:tcPr>
          <w:p w:rsidR="001039AB" w:rsidRDefault="001152A6">
            <w:pPr>
              <w:spacing w:after="0"/>
              <w:rPr>
                <w:rFonts w:hint="eastAsia"/>
              </w:rPr>
            </w:pPr>
            <w:r>
              <w:rPr>
                <w:color w:val="29323D"/>
                <w:sz w:val="15"/>
              </w:rPr>
              <w:t>Açık iyileştirme döngülerinin sorumlusu, süresi, kanıtı ve yeniden ölçüm tarihi belli mi?</w:t>
            </w:r>
          </w:p>
        </w:tc>
      </w:tr>
      <w:tr w:rsidR="001039AB">
        <w:trPr>
          <w:jc w:val="center"/>
        </w:trPr>
        <w:tc>
          <w:tcPr>
            <w:tcW w:w="5185" w:type="dxa"/>
            <w:shd w:val="clear" w:color="auto" w:fill="FFFFFF"/>
          </w:tcPr>
          <w:p w:rsidR="001039AB" w:rsidRDefault="001152A6">
            <w:pPr>
              <w:spacing w:after="0"/>
              <w:rPr>
                <w:rFonts w:hint="eastAsia"/>
              </w:rPr>
            </w:pPr>
            <w:r>
              <w:rPr>
                <w:color w:val="29323D"/>
                <w:sz w:val="15"/>
              </w:rPr>
              <w:t>Üst plan uyumu</w:t>
            </w:r>
          </w:p>
        </w:tc>
        <w:tc>
          <w:tcPr>
            <w:tcW w:w="5185" w:type="dxa"/>
            <w:shd w:val="clear" w:color="auto" w:fill="FFFFFF"/>
          </w:tcPr>
          <w:p w:rsidR="001039AB" w:rsidRDefault="001152A6">
            <w:pPr>
              <w:spacing w:after="0"/>
              <w:rPr>
                <w:rFonts w:hint="eastAsia"/>
              </w:rPr>
            </w:pPr>
            <w:r>
              <w:rPr>
                <w:color w:val="29323D"/>
                <w:sz w:val="15"/>
              </w:rPr>
              <w:t>GAÜN Stratejik Planında yapılan güncellemelerin GSF hedeflerine etkisi kontrol edildi mi?</w:t>
            </w:r>
          </w:p>
        </w:tc>
      </w:tr>
      <w:tr w:rsidR="001039AB">
        <w:trPr>
          <w:jc w:val="center"/>
        </w:trPr>
        <w:tc>
          <w:tcPr>
            <w:tcW w:w="5185" w:type="dxa"/>
            <w:shd w:val="clear" w:color="auto" w:fill="F7F9FC"/>
          </w:tcPr>
          <w:p w:rsidR="001039AB" w:rsidRDefault="001152A6">
            <w:pPr>
              <w:spacing w:after="0"/>
              <w:rPr>
                <w:rFonts w:hint="eastAsia"/>
              </w:rPr>
            </w:pPr>
            <w:r>
              <w:rPr>
                <w:color w:val="29323D"/>
                <w:sz w:val="15"/>
              </w:rPr>
              <w:t>Yeni eğilimler</w:t>
            </w:r>
          </w:p>
        </w:tc>
        <w:tc>
          <w:tcPr>
            <w:tcW w:w="5185" w:type="dxa"/>
            <w:shd w:val="clear" w:color="auto" w:fill="F7F9FC"/>
          </w:tcPr>
          <w:p w:rsidR="001039AB" w:rsidRDefault="001152A6">
            <w:pPr>
              <w:spacing w:after="0"/>
              <w:rPr>
                <w:rFonts w:hint="eastAsia"/>
              </w:rPr>
            </w:pPr>
            <w:r>
              <w:rPr>
                <w:color w:val="29323D"/>
                <w:sz w:val="15"/>
              </w:rPr>
              <w:t>Yapay zekâ, yaratıcı teknolojiler, sürdürülebilirlik ve sanat eğitimi alanındaki gelişmeler değerlendirildi mi?</w:t>
            </w:r>
          </w:p>
        </w:tc>
      </w:tr>
    </w:tbl>
    <w:p w:rsidR="001039AB" w:rsidRDefault="001152A6">
      <w:pPr>
        <w:pStyle w:val="Balk2"/>
      </w:pPr>
      <w:r>
        <w:t>Belge yönetimi</w:t>
      </w:r>
    </w:p>
    <w:p w:rsidR="001039AB" w:rsidRDefault="001152A6">
      <w:pPr>
        <w:spacing w:after="0"/>
        <w:rPr>
          <w:rFonts w:hint="eastAsia"/>
        </w:rPr>
      </w:pPr>
      <w:r>
        <w:t>Planın ana sahibi Dekanlıktır. Stratejik izleme verileri Fakülte Kalite Kurulu tarafından bütünleştirilir; koordinatörlükler ve bölüm başkanlıkları kendi sorumluluk alanlarındaki veriyi üretir ve kanıtları korur. Yıllık sonuçlar yalnız raporlanmaz; bir sonraki yılın faaliyet, kaynak ve iyileştirme önceliklerine dönüştürülür.</w:t>
      </w:r>
    </w:p>
    <w:sectPr w:rsidR="001039AB" w:rsidSect="00034616">
      <w:headerReference w:type="default" r:id="rId9"/>
      <w:footerReference w:type="default" r:id="rId10"/>
      <w:pgSz w:w="12240" w:h="15840"/>
      <w:pgMar w:top="879" w:right="935" w:bottom="879" w:left="935"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3B5" w:rsidRDefault="003D33B5">
      <w:pPr>
        <w:spacing w:after="0" w:line="240" w:lineRule="auto"/>
        <w:rPr>
          <w:rFonts w:hint="eastAsia"/>
        </w:rPr>
      </w:pPr>
      <w:r>
        <w:separator/>
      </w:r>
    </w:p>
  </w:endnote>
  <w:endnote w:type="continuationSeparator" w:id="0">
    <w:p w:rsidR="003D33B5" w:rsidRDefault="003D33B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2A6" w:rsidRDefault="001152A6">
    <w:pPr>
      <w:pStyle w:val="Altbilgi"/>
      <w:jc w:val="center"/>
      <w:rPr>
        <w:rFonts w:hint="eastAsia"/>
      </w:rPr>
    </w:pPr>
    <w:r>
      <w:rPr>
        <w:color w:val="697482"/>
        <w:sz w:val="14"/>
      </w:rPr>
      <w:t xml:space="preserve">GAÜN GSF  |  </w:t>
    </w:r>
    <w:r>
      <w:rPr>
        <w:color w:val="697482"/>
        <w:sz w:val="14"/>
      </w:rPr>
      <w:fldChar w:fldCharType="begin"/>
    </w:r>
    <w:r>
      <w:rPr>
        <w:color w:val="697482"/>
        <w:sz w:val="14"/>
      </w:rPr>
      <w:instrText xml:space="preserve"> PAGE </w:instrText>
    </w:r>
    <w:r>
      <w:rPr>
        <w:color w:val="697482"/>
        <w:sz w:val="14"/>
      </w:rPr>
      <w:fldChar w:fldCharType="separate"/>
    </w:r>
    <w:r w:rsidR="006F3914">
      <w:rPr>
        <w:rFonts w:hint="eastAsia"/>
        <w:noProof/>
        <w:color w:val="697482"/>
        <w:sz w:val="14"/>
      </w:rPr>
      <w:t>5</w:t>
    </w:r>
    <w:r>
      <w:rPr>
        <w:color w:val="697482"/>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3B5" w:rsidRDefault="003D33B5">
      <w:pPr>
        <w:spacing w:after="0" w:line="240" w:lineRule="auto"/>
        <w:rPr>
          <w:rFonts w:hint="eastAsia"/>
        </w:rPr>
      </w:pPr>
      <w:r>
        <w:separator/>
      </w:r>
    </w:p>
  </w:footnote>
  <w:footnote w:type="continuationSeparator" w:id="0">
    <w:p w:rsidR="003D33B5" w:rsidRDefault="003D33B5">
      <w:pPr>
        <w:spacing w:after="0" w:line="240" w:lineRule="auto"/>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2A6" w:rsidRDefault="001152A6">
    <w:pPr>
      <w:pStyle w:val="stbilgi"/>
      <w:jc w:val="right"/>
      <w:rPr>
        <w:rFonts w:hint="eastAsia"/>
      </w:rPr>
    </w:pPr>
    <w:r>
      <w:rPr>
        <w:b/>
        <w:color w:val="687688"/>
        <w:sz w:val="13"/>
      </w:rPr>
      <w:t>GAZİANTEP ÜNİVERSİTESİ  •  GÜZEL SANATLAR FAKÜLTESİ  •  2026–2029 STRATEJİK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039AB"/>
    <w:rsid w:val="001152A6"/>
    <w:rsid w:val="0015074B"/>
    <w:rsid w:val="001569BE"/>
    <w:rsid w:val="0029639D"/>
    <w:rsid w:val="00326F90"/>
    <w:rsid w:val="003D33B5"/>
    <w:rsid w:val="005A392B"/>
    <w:rsid w:val="005C5408"/>
    <w:rsid w:val="00657A96"/>
    <w:rsid w:val="006F3914"/>
    <w:rsid w:val="00AA1D8D"/>
    <w:rsid w:val="00B47730"/>
    <w:rsid w:val="00CA23B2"/>
    <w:rsid w:val="00CB0664"/>
    <w:rsid w:val="00FC693F"/>
    <w:rsid w:val="00FE5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ptos" w:hAnsi="Aptos"/>
      <w:color w:val="2A303A"/>
      <w:sz w:val="18"/>
    </w:rPr>
  </w:style>
  <w:style w:type="paragraph" w:styleId="Balk1">
    <w:name w:val="heading 1"/>
    <w:basedOn w:val="Normal"/>
    <w:next w:val="Normal"/>
    <w:link w:val="Balk1Char"/>
    <w:uiPriority w:val="9"/>
    <w:qFormat/>
    <w:rsid w:val="00FC693F"/>
    <w:pPr>
      <w:keepNext/>
      <w:keepLines/>
      <w:spacing w:before="180" w:after="100"/>
      <w:outlineLvl w:val="0"/>
    </w:pPr>
    <w:rPr>
      <w:rFonts w:asciiTheme="majorHAnsi" w:eastAsiaTheme="majorEastAsia" w:hAnsiTheme="majorHAnsi" w:cstheme="majorBidi"/>
      <w:b/>
      <w:bCs/>
      <w:color w:val="0C3067"/>
      <w:sz w:val="34"/>
      <w:szCs w:val="28"/>
    </w:rPr>
  </w:style>
  <w:style w:type="paragraph" w:styleId="Balk2">
    <w:name w:val="heading 2"/>
    <w:basedOn w:val="Normal"/>
    <w:next w:val="Normal"/>
    <w:link w:val="Balk2Char"/>
    <w:uiPriority w:val="9"/>
    <w:unhideWhenUsed/>
    <w:qFormat/>
    <w:rsid w:val="00FC693F"/>
    <w:pPr>
      <w:keepNext/>
      <w:keepLines/>
      <w:spacing w:before="120" w:after="60"/>
      <w:outlineLvl w:val="1"/>
    </w:pPr>
    <w:rPr>
      <w:rFonts w:asciiTheme="majorHAnsi" w:eastAsiaTheme="majorEastAsia" w:hAnsiTheme="majorHAnsi" w:cstheme="majorBidi"/>
      <w:b/>
      <w:bCs/>
      <w:color w:val="20477A"/>
      <w:sz w:val="23"/>
      <w:szCs w:val="26"/>
    </w:rPr>
  </w:style>
  <w:style w:type="paragraph" w:styleId="Balk3">
    <w:name w:val="heading 3"/>
    <w:basedOn w:val="Normal"/>
    <w:next w:val="Normal"/>
    <w:link w:val="Balk3Char"/>
    <w:uiPriority w:val="9"/>
    <w:unhideWhenUsed/>
    <w:qFormat/>
    <w:rsid w:val="00FC693F"/>
    <w:pPr>
      <w:keepNext/>
      <w:keepLines/>
      <w:spacing w:before="80" w:after="40"/>
      <w:outlineLvl w:val="2"/>
    </w:pPr>
    <w:rPr>
      <w:rFonts w:asciiTheme="majorHAnsi" w:eastAsiaTheme="majorEastAsia" w:hAnsiTheme="majorHAnsi" w:cstheme="majorBidi"/>
      <w:b/>
      <w:bCs/>
      <w:color w:val="3E5470"/>
      <w:sz w:val="20"/>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before="200" w:after="100" w:line="240" w:lineRule="auto"/>
      <w:contextualSpacing/>
    </w:pPr>
    <w:rPr>
      <w:rFonts w:asciiTheme="majorHAnsi" w:eastAsiaTheme="majorEastAsia" w:hAnsiTheme="majorHAnsi" w:cstheme="majorBidi"/>
      <w:b/>
      <w:color w:val="18212B"/>
      <w:spacing w:val="5"/>
      <w:kern w:val="28"/>
      <w:sz w:val="60"/>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spacing w:after="50" w:line="240" w:lineRule="auto"/>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spacing w:after="50" w:line="240" w:lineRule="auto"/>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ptos" w:hAnsi="Aptos"/>
      <w:color w:val="2A303A"/>
      <w:sz w:val="18"/>
    </w:rPr>
  </w:style>
  <w:style w:type="paragraph" w:styleId="Balk1">
    <w:name w:val="heading 1"/>
    <w:basedOn w:val="Normal"/>
    <w:next w:val="Normal"/>
    <w:link w:val="Balk1Char"/>
    <w:uiPriority w:val="9"/>
    <w:qFormat/>
    <w:rsid w:val="00FC693F"/>
    <w:pPr>
      <w:keepNext/>
      <w:keepLines/>
      <w:spacing w:before="180" w:after="100"/>
      <w:outlineLvl w:val="0"/>
    </w:pPr>
    <w:rPr>
      <w:rFonts w:asciiTheme="majorHAnsi" w:eastAsiaTheme="majorEastAsia" w:hAnsiTheme="majorHAnsi" w:cstheme="majorBidi"/>
      <w:b/>
      <w:bCs/>
      <w:color w:val="0C3067"/>
      <w:sz w:val="34"/>
      <w:szCs w:val="28"/>
    </w:rPr>
  </w:style>
  <w:style w:type="paragraph" w:styleId="Balk2">
    <w:name w:val="heading 2"/>
    <w:basedOn w:val="Normal"/>
    <w:next w:val="Normal"/>
    <w:link w:val="Balk2Char"/>
    <w:uiPriority w:val="9"/>
    <w:unhideWhenUsed/>
    <w:qFormat/>
    <w:rsid w:val="00FC693F"/>
    <w:pPr>
      <w:keepNext/>
      <w:keepLines/>
      <w:spacing w:before="120" w:after="60"/>
      <w:outlineLvl w:val="1"/>
    </w:pPr>
    <w:rPr>
      <w:rFonts w:asciiTheme="majorHAnsi" w:eastAsiaTheme="majorEastAsia" w:hAnsiTheme="majorHAnsi" w:cstheme="majorBidi"/>
      <w:b/>
      <w:bCs/>
      <w:color w:val="20477A"/>
      <w:sz w:val="23"/>
      <w:szCs w:val="26"/>
    </w:rPr>
  </w:style>
  <w:style w:type="paragraph" w:styleId="Balk3">
    <w:name w:val="heading 3"/>
    <w:basedOn w:val="Normal"/>
    <w:next w:val="Normal"/>
    <w:link w:val="Balk3Char"/>
    <w:uiPriority w:val="9"/>
    <w:unhideWhenUsed/>
    <w:qFormat/>
    <w:rsid w:val="00FC693F"/>
    <w:pPr>
      <w:keepNext/>
      <w:keepLines/>
      <w:spacing w:before="80" w:after="40"/>
      <w:outlineLvl w:val="2"/>
    </w:pPr>
    <w:rPr>
      <w:rFonts w:asciiTheme="majorHAnsi" w:eastAsiaTheme="majorEastAsia" w:hAnsiTheme="majorHAnsi" w:cstheme="majorBidi"/>
      <w:b/>
      <w:bCs/>
      <w:color w:val="3E5470"/>
      <w:sz w:val="20"/>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before="200" w:after="100" w:line="240" w:lineRule="auto"/>
      <w:contextualSpacing/>
    </w:pPr>
    <w:rPr>
      <w:rFonts w:asciiTheme="majorHAnsi" w:eastAsiaTheme="majorEastAsia" w:hAnsiTheme="majorHAnsi" w:cstheme="majorBidi"/>
      <w:b/>
      <w:color w:val="18212B"/>
      <w:spacing w:val="5"/>
      <w:kern w:val="28"/>
      <w:sz w:val="60"/>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spacing w:after="50" w:line="240" w:lineRule="auto"/>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spacing w:after="50" w:line="240" w:lineRule="auto"/>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0AA72-6EAC-4AC2-8F34-C6974C504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33</Pages>
  <Words>12863</Words>
  <Characters>73324</Characters>
  <Application>Microsoft Office Word</Application>
  <DocSecurity>0</DocSecurity>
  <Lines>611</Lines>
  <Paragraphs>172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GAÜN GSF 2026-2029 Stratejik Gelişim ve Uygulama Planı - Revize</vt:lpstr>
      <vt:lpstr/>
    </vt:vector>
  </TitlesOfParts>
  <Manager/>
  <Company/>
  <LinksUpToDate>false</LinksUpToDate>
  <CharactersWithSpaces>86015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GAÜN GSF 2026-2029 Stratejik Gelişim ve Uygulama Planı - Revize</dc:title>
  <dc:subject>GAÜN 2025-2029 Stratejik Planı ile uyumlu fakülte uygulama planı</dc:subject>
  <dc:creator>Gaziantep Üniversitesi Güzel Sanatlar Fakültesi</dc:creator>
  <cp:keywords/>
  <dc:description>generated by python-docx</dc:description>
  <cp:lastModifiedBy>ayhan özer</cp:lastModifiedBy>
  <cp:revision>6</cp:revision>
  <dcterms:created xsi:type="dcterms:W3CDTF">2013-12-23T23:15:00Z</dcterms:created>
  <dcterms:modified xsi:type="dcterms:W3CDTF">2026-08-17T06:47:00Z</dcterms:modified>
  <cp:category/>
</cp:coreProperties>
</file>